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2E6CAA40" w:rsidR="001A1A9F" w:rsidRPr="008D42DB" w:rsidRDefault="001A1A9F" w:rsidP="001A1A9F">
      <w:pPr>
        <w:pStyle w:val="Heading1"/>
        <w:rPr>
          <w:color w:val="auto"/>
          <w:sz w:val="36"/>
          <w:szCs w:val="36"/>
        </w:rPr>
      </w:pPr>
      <w:bookmarkStart w:id="0" w:name="_Hlk163722810"/>
      <w:r w:rsidRPr="008D42DB">
        <w:rPr>
          <w:color w:val="auto"/>
          <w:sz w:val="36"/>
          <w:szCs w:val="36"/>
        </w:rPr>
        <w:t>Undervisningsmateriale til</w:t>
      </w:r>
      <w:r w:rsidR="00D336E4" w:rsidRPr="008D42DB">
        <w:rPr>
          <w:color w:val="auto"/>
          <w:sz w:val="36"/>
          <w:szCs w:val="36"/>
        </w:rPr>
        <w:t xml:space="preserve"> </w:t>
      </w:r>
      <w:r w:rsidR="009B108A" w:rsidRPr="008D42DB">
        <w:rPr>
          <w:color w:val="auto"/>
          <w:sz w:val="36"/>
          <w:szCs w:val="36"/>
        </w:rPr>
        <w:t>økologi om symbiose</w:t>
      </w:r>
      <w:r w:rsidR="009528A1" w:rsidRPr="008D42DB">
        <w:rPr>
          <w:color w:val="auto"/>
          <w:sz w:val="36"/>
          <w:szCs w:val="36"/>
        </w:rPr>
        <w:t xml:space="preserve">, </w:t>
      </w:r>
      <w:r w:rsidR="009B108A" w:rsidRPr="008D42DB">
        <w:rPr>
          <w:color w:val="auto"/>
          <w:sz w:val="36"/>
          <w:szCs w:val="36"/>
        </w:rPr>
        <w:t>N-kredsløb</w:t>
      </w:r>
      <w:r w:rsidR="009528A1" w:rsidRPr="008D42DB">
        <w:rPr>
          <w:color w:val="auto"/>
          <w:sz w:val="36"/>
          <w:szCs w:val="36"/>
        </w:rPr>
        <w:t xml:space="preserve"> </w:t>
      </w:r>
      <w:r w:rsidR="008D42DB">
        <w:rPr>
          <w:color w:val="auto"/>
          <w:sz w:val="36"/>
          <w:szCs w:val="36"/>
        </w:rPr>
        <w:br/>
      </w:r>
      <w:r w:rsidR="009528A1" w:rsidRPr="008D42DB">
        <w:rPr>
          <w:color w:val="auto"/>
          <w:sz w:val="36"/>
          <w:szCs w:val="36"/>
        </w:rPr>
        <w:t>og bæredygtighed</w:t>
      </w:r>
      <w:r w:rsidR="00D336E4" w:rsidRPr="008D42DB">
        <w:rPr>
          <w:color w:val="auto"/>
          <w:sz w:val="36"/>
          <w:szCs w:val="36"/>
        </w:rPr>
        <w:t>.</w:t>
      </w:r>
    </w:p>
    <w:p w14:paraId="44DEAF07" w14:textId="09B3942B" w:rsidR="001A1A9F" w:rsidRPr="00D2423B" w:rsidRDefault="001A1A9F" w:rsidP="001A1A9F">
      <w:pPr>
        <w:pStyle w:val="Heading1"/>
        <w:rPr>
          <w:color w:val="auto"/>
          <w:sz w:val="24"/>
          <w:szCs w:val="24"/>
        </w:rPr>
      </w:pPr>
      <w:r w:rsidRPr="001A1A9F">
        <w:rPr>
          <w:color w:val="auto"/>
        </w:rPr>
        <w:t xml:space="preserve">Artikel: </w:t>
      </w:r>
      <w:hyperlink r:id="rId6" w:history="1">
        <w:r w:rsidR="00D2423B" w:rsidRPr="00D2423B">
          <w:rPr>
            <w:rStyle w:val="Hyperlink"/>
          </w:rPr>
          <w:t>Forskning baner vejen for s</w:t>
        </w:r>
        <w:r w:rsidR="00E03D85" w:rsidRPr="00D2423B">
          <w:rPr>
            <w:rStyle w:val="Hyperlink"/>
          </w:rPr>
          <w:t>elvgødende planter til landbruget</w:t>
        </w:r>
      </w:hyperlink>
      <w:r w:rsidRPr="001A1A9F">
        <w:rPr>
          <w:color w:val="auto"/>
        </w:rPr>
        <w:t xml:space="preserve"> </w:t>
      </w:r>
      <w:r w:rsidR="00D2423B" w:rsidRPr="00D2423B">
        <w:rPr>
          <w:color w:val="auto"/>
          <w:sz w:val="24"/>
          <w:szCs w:val="24"/>
        </w:rPr>
        <w:t xml:space="preserve">fra Aktuel Naturvidenskab nr. </w:t>
      </w:r>
      <w:r w:rsidR="00E03D85" w:rsidRPr="00D2423B">
        <w:rPr>
          <w:color w:val="auto"/>
          <w:sz w:val="24"/>
          <w:szCs w:val="24"/>
        </w:rPr>
        <w:t>1</w:t>
      </w:r>
      <w:r w:rsidRPr="00D2423B">
        <w:rPr>
          <w:color w:val="auto"/>
          <w:sz w:val="24"/>
          <w:szCs w:val="24"/>
        </w:rPr>
        <w:t>/20</w:t>
      </w:r>
      <w:r w:rsidR="00272510" w:rsidRPr="00D2423B">
        <w:rPr>
          <w:color w:val="auto"/>
          <w:sz w:val="24"/>
          <w:szCs w:val="24"/>
        </w:rPr>
        <w:t>2</w:t>
      </w:r>
      <w:r w:rsidR="00E03D85" w:rsidRPr="00D2423B">
        <w:rPr>
          <w:color w:val="auto"/>
          <w:sz w:val="24"/>
          <w:szCs w:val="24"/>
        </w:rPr>
        <w:t>4</w:t>
      </w:r>
      <w:r w:rsidRPr="00D2423B">
        <w:rPr>
          <w:color w:val="auto"/>
          <w:sz w:val="24"/>
          <w:szCs w:val="24"/>
        </w:rPr>
        <w:t xml:space="preserve">, s. </w:t>
      </w:r>
      <w:r w:rsidR="00E03D85" w:rsidRPr="00D2423B">
        <w:rPr>
          <w:color w:val="auto"/>
          <w:sz w:val="24"/>
          <w:szCs w:val="24"/>
        </w:rPr>
        <w:t>8-13</w:t>
      </w:r>
      <w:r w:rsidR="00D2423B">
        <w:rPr>
          <w:color w:val="auto"/>
          <w:sz w:val="24"/>
          <w:szCs w:val="24"/>
        </w:rPr>
        <w:t xml:space="preserve">. </w:t>
      </w:r>
      <w:hyperlink r:id="rId7" w:history="1">
        <w:r w:rsidR="00D2423B" w:rsidRPr="00D2423B">
          <w:rPr>
            <w:rStyle w:val="Hyperlink"/>
            <w:sz w:val="24"/>
            <w:szCs w:val="24"/>
          </w:rPr>
          <w:t>Se artiklen i pdf-version</w:t>
        </w:r>
      </w:hyperlink>
      <w:r w:rsidR="00D2423B">
        <w:rPr>
          <w:color w:val="auto"/>
          <w:sz w:val="24"/>
          <w:szCs w:val="24"/>
        </w:rPr>
        <w:t>.</w:t>
      </w:r>
      <w:r w:rsidR="00140D26">
        <w:rPr>
          <w:color w:val="auto"/>
          <w:sz w:val="24"/>
          <w:szCs w:val="24"/>
        </w:rPr>
        <w:t xml:space="preserve"> Der findes også en </w:t>
      </w:r>
      <w:hyperlink r:id="rId8" w:history="1">
        <w:r w:rsidR="00140D26" w:rsidRPr="00140D26">
          <w:rPr>
            <w:rStyle w:val="Hyperlink"/>
            <w:sz w:val="24"/>
            <w:szCs w:val="24"/>
          </w:rPr>
          <w:t>quiz til denne artikel</w:t>
        </w:r>
      </w:hyperlink>
      <w:r w:rsidR="00140D26">
        <w:rPr>
          <w:color w:val="auto"/>
          <w:sz w:val="24"/>
          <w:szCs w:val="24"/>
        </w:rPr>
        <w:t>.</w:t>
      </w:r>
    </w:p>
    <w:p w14:paraId="2DED6813" w14:textId="7FD47D74" w:rsidR="001A1A9F" w:rsidRPr="008D42DB" w:rsidRDefault="005A4B69" w:rsidP="001A1A9F">
      <w:pPr>
        <w:pStyle w:val="Heading1"/>
        <w:rPr>
          <w:b/>
          <w:bCs/>
          <w:color w:val="auto"/>
          <w:sz w:val="24"/>
          <w:szCs w:val="24"/>
        </w:rPr>
      </w:pPr>
      <w:r w:rsidRPr="008D42DB">
        <w:rPr>
          <w:b/>
          <w:bCs/>
          <w:color w:val="auto"/>
          <w:sz w:val="24"/>
          <w:szCs w:val="24"/>
        </w:rPr>
        <w:t xml:space="preserve">Fag: </w:t>
      </w:r>
      <w:r w:rsidR="00327AC4" w:rsidRPr="008D42DB">
        <w:rPr>
          <w:b/>
          <w:bCs/>
          <w:color w:val="auto"/>
          <w:sz w:val="24"/>
          <w:szCs w:val="24"/>
        </w:rPr>
        <w:t>Biologi A</w:t>
      </w:r>
      <w:r w:rsidR="000A6BC6" w:rsidRPr="008D42DB">
        <w:rPr>
          <w:b/>
          <w:bCs/>
          <w:color w:val="auto"/>
          <w:sz w:val="24"/>
          <w:szCs w:val="24"/>
        </w:rPr>
        <w:t>, Bioteknologi A</w:t>
      </w:r>
    </w:p>
    <w:p w14:paraId="07BE7427" w14:textId="31D0397E" w:rsidR="00591F46" w:rsidRPr="00D2423B" w:rsidRDefault="00140D26" w:rsidP="001A1A9F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D2423B">
        <w:rPr>
          <w:color w:val="auto"/>
          <w:sz w:val="24"/>
          <w:szCs w:val="24"/>
        </w:rPr>
        <w:t xml:space="preserve">Lone Als Egebo, </w:t>
      </w:r>
      <w:r w:rsidR="00272510" w:rsidRPr="00D2423B">
        <w:rPr>
          <w:color w:val="auto"/>
          <w:sz w:val="24"/>
          <w:szCs w:val="24"/>
        </w:rPr>
        <w:t>Ege-bøger</w:t>
      </w:r>
      <w:r w:rsidR="001A1A9F" w:rsidRPr="00D2423B">
        <w:rPr>
          <w:color w:val="auto"/>
          <w:sz w:val="24"/>
          <w:szCs w:val="24"/>
        </w:rPr>
        <w:t xml:space="preserve">, </w:t>
      </w:r>
      <w:r w:rsidR="00E03D85" w:rsidRPr="00D2423B">
        <w:rPr>
          <w:color w:val="auto"/>
          <w:sz w:val="24"/>
          <w:szCs w:val="24"/>
        </w:rPr>
        <w:t>marts</w:t>
      </w:r>
      <w:r w:rsidR="00272510" w:rsidRPr="00D2423B">
        <w:rPr>
          <w:color w:val="auto"/>
          <w:sz w:val="24"/>
          <w:szCs w:val="24"/>
        </w:rPr>
        <w:t xml:space="preserve"> 202</w:t>
      </w:r>
      <w:r w:rsidR="000A6BC6" w:rsidRPr="00D2423B">
        <w:rPr>
          <w:color w:val="auto"/>
          <w:sz w:val="24"/>
          <w:szCs w:val="24"/>
        </w:rPr>
        <w:t>4</w:t>
      </w:r>
      <w:r w:rsidR="008D42DB">
        <w:rPr>
          <w:color w:val="auto"/>
          <w:sz w:val="24"/>
          <w:szCs w:val="24"/>
        </w:rPr>
        <w:t>, for Aktuel Naturvidenskab</w:t>
      </w:r>
    </w:p>
    <w:p w14:paraId="307AA814" w14:textId="77777777" w:rsidR="001226F1" w:rsidRDefault="001226F1" w:rsidP="001226F1"/>
    <w:p w14:paraId="1C2FDD75" w14:textId="77777777" w:rsidR="00184A82" w:rsidRDefault="00184A82" w:rsidP="00184A82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60ECC366" w14:textId="127E775E" w:rsidR="00184A82" w:rsidRPr="00184A82" w:rsidRDefault="00184A82" w:rsidP="00184A82">
      <w:pPr>
        <w:autoSpaceDE w:val="0"/>
        <w:autoSpaceDN w:val="0"/>
        <w:adjustRightInd w:val="0"/>
        <w:spacing w:after="0" w:line="240" w:lineRule="auto"/>
      </w:pPr>
      <w:r>
        <w:t xml:space="preserve">Artiklen kan indgå i et økologiforløb og medvirke til at dække læreplanernes krav om </w:t>
      </w:r>
      <w:r w:rsidRPr="00184A82">
        <w:t>eksempler på samspil mellem arter og mellem arter og deres</w:t>
      </w:r>
      <w:r>
        <w:t xml:space="preserve"> omgivende miljø. Artiklen vil desuden kunne bidrage til at dække det supplerende stof inden for områder som biologisk produktion og bæredygtighed.</w:t>
      </w:r>
    </w:p>
    <w:p w14:paraId="4BE42BE8" w14:textId="18149E58" w:rsidR="00184A82" w:rsidRDefault="00184A82" w:rsidP="00184A82">
      <w:pPr>
        <w:spacing w:after="0"/>
      </w:pPr>
      <w:r>
        <w:t>Artiklen kræver kendskab til almindelige vækstkrav for levende organismer.</w:t>
      </w:r>
    </w:p>
    <w:p w14:paraId="144FF880" w14:textId="19A88221" w:rsidR="004C13CA" w:rsidRDefault="004C13CA" w:rsidP="00184A82">
      <w:pPr>
        <w:spacing w:after="0"/>
      </w:pPr>
      <w:r>
        <w:t>Som e</w:t>
      </w:r>
      <w:r w:rsidR="00D2423B">
        <w:t>n</w:t>
      </w:r>
      <w:r>
        <w:t xml:space="preserve"> del af materialet findes en vejledning til dyrkning af </w:t>
      </w:r>
      <w:proofErr w:type="spellStart"/>
      <w:r>
        <w:t>Rhizobium</w:t>
      </w:r>
      <w:proofErr w:type="spellEnd"/>
      <w:r>
        <w:t>-bakterier og lucerne-planter for at undersøge deres symbiose.</w:t>
      </w:r>
    </w:p>
    <w:bookmarkEnd w:id="0"/>
    <w:p w14:paraId="6B3BEB2C" w14:textId="77777777" w:rsidR="00E510E9" w:rsidRDefault="00E510E9" w:rsidP="00036B5E">
      <w:pPr>
        <w:spacing w:after="0"/>
        <w:rPr>
          <w:rStyle w:val="Hyperlink"/>
        </w:rPr>
      </w:pPr>
    </w:p>
    <w:p w14:paraId="440D6FC2" w14:textId="0499D360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05544A35" w14:textId="77777777" w:rsidR="00E03D85" w:rsidRDefault="00E03D85" w:rsidP="008F5CDE">
      <w:pPr>
        <w:pStyle w:val="ListParagraph"/>
        <w:numPr>
          <w:ilvl w:val="0"/>
          <w:numId w:val="3"/>
        </w:numPr>
      </w:pPr>
      <w:r>
        <w:t>Giv en definition på begrebet symbiose.</w:t>
      </w:r>
    </w:p>
    <w:p w14:paraId="371BFBD0" w14:textId="7094DC77" w:rsidR="00E03D85" w:rsidRDefault="00E03D85" w:rsidP="008F5CDE">
      <w:pPr>
        <w:pStyle w:val="ListParagraph"/>
        <w:numPr>
          <w:ilvl w:val="0"/>
          <w:numId w:val="3"/>
        </w:numPr>
      </w:pPr>
      <w:r>
        <w:t>Forklar</w:t>
      </w:r>
      <w:r w:rsidR="00D2423B">
        <w:t>,</w:t>
      </w:r>
      <w:r>
        <w:t xml:space="preserve"> hvordan planter og svampe kan leve i symbiose, og hvilke fordele de hver især har af det symbiotiske forhold.</w:t>
      </w:r>
    </w:p>
    <w:p w14:paraId="10D4501F" w14:textId="6C61BD36" w:rsidR="00241DA6" w:rsidRDefault="00E03D85" w:rsidP="00241DA6">
      <w:pPr>
        <w:spacing w:after="0"/>
        <w:ind w:left="360"/>
      </w:pPr>
      <w:r>
        <w:t xml:space="preserve">Visse bakterier kan tage gassen </w:t>
      </w:r>
      <w:proofErr w:type="spellStart"/>
      <w:r w:rsidR="00241DA6">
        <w:t>dinitrogen</w:t>
      </w:r>
      <w:proofErr w:type="spellEnd"/>
      <w:r w:rsidR="00241DA6">
        <w:t xml:space="preserve">, </w:t>
      </w:r>
      <w:r>
        <w:t>N</w:t>
      </w:r>
      <w:r w:rsidRPr="00241DA6">
        <w:rPr>
          <w:vertAlign w:val="subscript"/>
        </w:rPr>
        <w:t>2</w:t>
      </w:r>
      <w:r w:rsidR="00241DA6">
        <w:t>,</w:t>
      </w:r>
      <w:r>
        <w:t xml:space="preserve"> ud af</w:t>
      </w:r>
      <w:r w:rsidR="00241DA6">
        <w:t xml:space="preserve"> atmosfæren og omdanne den til ammoniak.</w:t>
      </w:r>
      <w:r>
        <w:t xml:space="preserve">  </w:t>
      </w:r>
      <w:r w:rsidR="00241DA6">
        <w:t>Processen kaldes nitrogenfiksering og er vist nedenfor:</w:t>
      </w:r>
    </w:p>
    <w:p w14:paraId="3BFC7A79" w14:textId="77777777" w:rsidR="00241DA6" w:rsidRDefault="00241DA6" w:rsidP="00241DA6">
      <w:pPr>
        <w:pStyle w:val="ListParagraph"/>
      </w:pPr>
    </w:p>
    <w:p w14:paraId="572F6A80" w14:textId="6AF5A07E" w:rsidR="00241DA6" w:rsidRDefault="00241DA6" w:rsidP="00241DA6">
      <w:pPr>
        <w:pStyle w:val="ListParagraph"/>
      </w:pPr>
      <w:r>
        <w:t>N</w:t>
      </w:r>
      <w:r>
        <w:rPr>
          <w:vertAlign w:val="subscript"/>
        </w:rPr>
        <w:t>2</w:t>
      </w:r>
      <w:r>
        <w:t>(g) + 3 H</w:t>
      </w:r>
      <w:r>
        <w:rPr>
          <w:vertAlign w:val="subscript"/>
        </w:rPr>
        <w:t>2</w:t>
      </w:r>
      <w:r>
        <w:t xml:space="preserve">(g) </w:t>
      </w:r>
      <w:r>
        <w:rPr>
          <w:rFonts w:cstheme="minorHAnsi"/>
        </w:rPr>
        <w:t>→</w:t>
      </w:r>
      <w:r>
        <w:t xml:space="preserve"> 2 NH</w:t>
      </w:r>
      <w:r>
        <w:rPr>
          <w:vertAlign w:val="subscript"/>
        </w:rPr>
        <w:t>3</w:t>
      </w:r>
      <w:r>
        <w:t>(g)</w:t>
      </w:r>
    </w:p>
    <w:p w14:paraId="63A06022" w14:textId="0AE06008" w:rsidR="00241DA6" w:rsidRDefault="00C748F5" w:rsidP="00241DA6">
      <w:pPr>
        <w:ind w:left="360"/>
      </w:pPr>
      <w:r>
        <w:t>Nitrogenfikserende bakterier</w:t>
      </w:r>
      <w:r w:rsidR="00241DA6">
        <w:t xml:space="preserve"> kan leve i</w:t>
      </w:r>
      <w:r w:rsidR="00B162C9">
        <w:t xml:space="preserve"> symbiose med</w:t>
      </w:r>
      <w:r w:rsidR="00241DA6">
        <w:t xml:space="preserve"> </w:t>
      </w:r>
      <w:r w:rsidR="00B162C9">
        <w:t xml:space="preserve">bælgplanter som </w:t>
      </w:r>
      <w:r>
        <w:t xml:space="preserve">fx </w:t>
      </w:r>
      <w:r w:rsidR="00B162C9">
        <w:t>ærte</w:t>
      </w:r>
      <w:r>
        <w:t>planter</w:t>
      </w:r>
      <w:r w:rsidR="00B162C9">
        <w:t xml:space="preserve"> og kløver.</w:t>
      </w:r>
    </w:p>
    <w:p w14:paraId="2FCA038E" w14:textId="02191DEC" w:rsidR="00E03D85" w:rsidRDefault="00241DA6" w:rsidP="008F5CDE">
      <w:pPr>
        <w:pStyle w:val="ListParagraph"/>
        <w:numPr>
          <w:ilvl w:val="0"/>
          <w:numId w:val="3"/>
        </w:numPr>
      </w:pPr>
      <w:r>
        <w:t xml:space="preserve">Hvilke fordele har </w:t>
      </w:r>
      <w:r w:rsidR="00B162C9">
        <w:t>henholdsvis bælgplanter og de nitrogenfikserende bakterier af symbiosen</w:t>
      </w:r>
      <w:r>
        <w:t>?</w:t>
      </w:r>
    </w:p>
    <w:p w14:paraId="0CCFF963" w14:textId="695CBDAB" w:rsidR="006F1B51" w:rsidRDefault="00B162C9" w:rsidP="006F1B51">
      <w:pPr>
        <w:pStyle w:val="ListParagraph"/>
        <w:numPr>
          <w:ilvl w:val="0"/>
          <w:numId w:val="3"/>
        </w:numPr>
      </w:pPr>
      <w:r>
        <w:rPr>
          <w:noProof/>
        </w:rPr>
        <w:t>Forklar hvorfor denne symbiose er en fordel både for landbruget og for klimaet.</w:t>
      </w:r>
    </w:p>
    <w:p w14:paraId="6639D6A4" w14:textId="5CD0C1CF" w:rsidR="00B162C9" w:rsidRDefault="00184A82" w:rsidP="006F1B51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E2C189" wp14:editId="0DAFCF2D">
            <wp:simplePos x="0" y="0"/>
            <wp:positionH relativeFrom="column">
              <wp:posOffset>413385</wp:posOffset>
            </wp:positionH>
            <wp:positionV relativeFrom="paragraph">
              <wp:posOffset>382905</wp:posOffset>
            </wp:positionV>
            <wp:extent cx="5503545" cy="3255010"/>
            <wp:effectExtent l="0" t="0" r="1905" b="2540"/>
            <wp:wrapTight wrapText="bothSides">
              <wp:wrapPolygon edited="0">
                <wp:start x="0" y="0"/>
                <wp:lineTo x="0" y="21490"/>
                <wp:lineTo x="21533" y="21490"/>
                <wp:lineTo x="21533" y="0"/>
                <wp:lineTo x="0" y="0"/>
              </wp:wrapPolygon>
            </wp:wrapTight>
            <wp:docPr id="20106032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0328" name=""/>
                    <pic:cNvPicPr/>
                  </pic:nvPicPr>
                  <pic:blipFill rotWithShape="1">
                    <a:blip r:embed="rId9"/>
                    <a:srcRect l="4571" t="13059" r="6448" b="4760"/>
                    <a:stretch/>
                  </pic:blipFill>
                  <pic:spPr bwMode="auto">
                    <a:xfrm>
                      <a:off x="0" y="0"/>
                      <a:ext cx="5503545" cy="325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2C9">
        <w:t>Forklar</w:t>
      </w:r>
      <w:r w:rsidR="00C748F5">
        <w:t>,</w:t>
      </w:r>
      <w:r w:rsidR="00B162C9">
        <w:t xml:space="preserve"> hvordan denne symbiose etableres</w:t>
      </w:r>
      <w:r w:rsidR="00B162C9" w:rsidRPr="00B162C9">
        <w:t xml:space="preserve"> </w:t>
      </w:r>
      <w:r w:rsidR="00B162C9">
        <w:t>mellem bakterier og plante. Inddrag nedenstående figur (vist s. 10 i artiklen)</w:t>
      </w:r>
      <w:r w:rsidR="009B108A">
        <w:t>.</w:t>
      </w:r>
    </w:p>
    <w:p w14:paraId="1EAC593C" w14:textId="7016D1E4" w:rsidR="009B108A" w:rsidRDefault="009B108A" w:rsidP="009B108A"/>
    <w:p w14:paraId="6595CDF8" w14:textId="00534EF6" w:rsidR="009B108A" w:rsidRDefault="009B108A" w:rsidP="009B108A"/>
    <w:p w14:paraId="392EB2B1" w14:textId="1723E3FB" w:rsidR="009B108A" w:rsidRDefault="009B108A" w:rsidP="009B108A"/>
    <w:p w14:paraId="7D15BFDC" w14:textId="7B3E00C0" w:rsidR="009B108A" w:rsidRDefault="009B108A" w:rsidP="009B108A"/>
    <w:p w14:paraId="1212534E" w14:textId="77777777" w:rsidR="009B108A" w:rsidRDefault="009B108A" w:rsidP="009B108A"/>
    <w:p w14:paraId="36A63C43" w14:textId="77777777" w:rsidR="009B108A" w:rsidRDefault="009B108A" w:rsidP="009B108A"/>
    <w:p w14:paraId="3C47A654" w14:textId="77777777" w:rsidR="009B108A" w:rsidRDefault="009B108A" w:rsidP="009B108A"/>
    <w:p w14:paraId="7E8D6E7C" w14:textId="77777777" w:rsidR="00C748F5" w:rsidRDefault="00C748F5" w:rsidP="009B108A"/>
    <w:p w14:paraId="7F846145" w14:textId="77777777" w:rsidR="00C748F5" w:rsidRDefault="00C748F5" w:rsidP="009B108A"/>
    <w:p w14:paraId="20A4A870" w14:textId="77777777" w:rsidR="00C748F5" w:rsidRDefault="00C748F5" w:rsidP="009B108A"/>
    <w:p w14:paraId="5FD7218A" w14:textId="77777777" w:rsidR="00C748F5" w:rsidRDefault="00C748F5" w:rsidP="009B108A"/>
    <w:p w14:paraId="5E424FF9" w14:textId="77777777" w:rsidR="009B7DAE" w:rsidRDefault="009B7DAE" w:rsidP="009B108A">
      <w:pPr>
        <w:pStyle w:val="ListParagraph"/>
        <w:numPr>
          <w:ilvl w:val="0"/>
          <w:numId w:val="3"/>
        </w:numPr>
      </w:pPr>
      <w:r>
        <w:t>Hvilken rolle spiller de to receptorer NFR1 og NFR5 i etablering af symbiosen mellem bakterierne og planten?</w:t>
      </w:r>
    </w:p>
    <w:p w14:paraId="6E0CCFBC" w14:textId="12C44B93" w:rsidR="009B108A" w:rsidRDefault="009B108A" w:rsidP="009B108A">
      <w:pPr>
        <w:pStyle w:val="ListParagraph"/>
        <w:numPr>
          <w:ilvl w:val="0"/>
          <w:numId w:val="3"/>
        </w:numPr>
      </w:pPr>
      <w:r>
        <w:t>Hvorfor er det vigtigt</w:t>
      </w:r>
      <w:r w:rsidR="00140D26">
        <w:t>,</w:t>
      </w:r>
      <w:r>
        <w:t xml:space="preserve"> at planterne skaber et iltfrit miljø i rodknoldene?</w:t>
      </w:r>
    </w:p>
    <w:p w14:paraId="7302E026" w14:textId="07EF8409" w:rsidR="009B108A" w:rsidRDefault="009B108A" w:rsidP="009B108A">
      <w:pPr>
        <w:pStyle w:val="ListParagraph"/>
        <w:numPr>
          <w:ilvl w:val="0"/>
          <w:numId w:val="3"/>
        </w:numPr>
      </w:pPr>
      <w:r>
        <w:t>Hvordan kan nitrogenfikserende bælgplanter udnyttes til at gøre et landbrug mere bæredygtigt?</w:t>
      </w:r>
    </w:p>
    <w:p w14:paraId="34B0ECEB" w14:textId="0F93F05E" w:rsidR="009B7DAE" w:rsidRDefault="009B7DAE" w:rsidP="009B7DAE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F56E8C" wp14:editId="2B6BCFAC">
            <wp:simplePos x="0" y="0"/>
            <wp:positionH relativeFrom="column">
              <wp:posOffset>581888</wp:posOffset>
            </wp:positionH>
            <wp:positionV relativeFrom="paragraph">
              <wp:posOffset>443602</wp:posOffset>
            </wp:positionV>
            <wp:extent cx="2924175" cy="2432050"/>
            <wp:effectExtent l="0" t="0" r="9525" b="6350"/>
            <wp:wrapTight wrapText="bothSides">
              <wp:wrapPolygon edited="0">
                <wp:start x="0" y="0"/>
                <wp:lineTo x="0" y="21487"/>
                <wp:lineTo x="21530" y="21487"/>
                <wp:lineTo x="21530" y="0"/>
                <wp:lineTo x="0" y="0"/>
              </wp:wrapPolygon>
            </wp:wrapTight>
            <wp:docPr id="197219730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97304" name=""/>
                    <pic:cNvPicPr/>
                  </pic:nvPicPr>
                  <pic:blipFill rotWithShape="1">
                    <a:blip r:embed="rId10"/>
                    <a:srcRect b="47113"/>
                    <a:stretch/>
                  </pic:blipFill>
                  <pic:spPr bwMode="auto">
                    <a:xfrm>
                      <a:off x="0" y="0"/>
                      <a:ext cx="2924175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Forklar</w:t>
      </w:r>
      <w:r w:rsidR="00140D26">
        <w:t>,</w:t>
      </w:r>
      <w:r>
        <w:t xml:space="preserve"> hvordan såkaldte </w:t>
      </w:r>
      <w:proofErr w:type="spellStart"/>
      <w:r>
        <w:t>nanobodies</w:t>
      </w:r>
      <w:proofErr w:type="spellEnd"/>
      <w:r>
        <w:t xml:space="preserve"> fra lamaer kan anvendes til at fastlægge funktionen af de to receptorer NFR1 og NFR5. Inddrag nedenstående figurer (vist s. 11 i artiklen)</w:t>
      </w:r>
    </w:p>
    <w:p w14:paraId="4B073A6A" w14:textId="1CB3B56A" w:rsidR="009B108A" w:rsidRDefault="009B7DAE" w:rsidP="009B108A">
      <w:r w:rsidRPr="009B7DAE">
        <w:rPr>
          <w:noProof/>
        </w:rPr>
        <w:drawing>
          <wp:anchor distT="0" distB="0" distL="114300" distR="114300" simplePos="0" relativeHeight="251663360" behindDoc="1" locked="0" layoutInCell="1" allowOverlap="1" wp14:anchorId="298DBCCC" wp14:editId="46E7743A">
            <wp:simplePos x="0" y="0"/>
            <wp:positionH relativeFrom="margin">
              <wp:align>right</wp:align>
            </wp:positionH>
            <wp:positionV relativeFrom="paragraph">
              <wp:posOffset>94244</wp:posOffset>
            </wp:positionV>
            <wp:extent cx="2225675" cy="2072640"/>
            <wp:effectExtent l="0" t="0" r="3175" b="3810"/>
            <wp:wrapTight wrapText="bothSides">
              <wp:wrapPolygon edited="0">
                <wp:start x="0" y="0"/>
                <wp:lineTo x="0" y="21441"/>
                <wp:lineTo x="21446" y="21441"/>
                <wp:lineTo x="21446" y="0"/>
                <wp:lineTo x="0" y="0"/>
              </wp:wrapPolygon>
            </wp:wrapTight>
            <wp:docPr id="122682980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829800" name=""/>
                    <pic:cNvPicPr/>
                  </pic:nvPicPr>
                  <pic:blipFill rotWithShape="1">
                    <a:blip r:embed="rId10"/>
                    <a:srcRect l="4124" t="54940" r="19759"/>
                    <a:stretch/>
                  </pic:blipFill>
                  <pic:spPr bwMode="auto">
                    <a:xfrm>
                      <a:off x="0" y="0"/>
                      <a:ext cx="222567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449B3" w14:textId="4CCF9C54" w:rsidR="009B108A" w:rsidRDefault="009B108A" w:rsidP="009B108A"/>
    <w:p w14:paraId="09B49B69" w14:textId="77777777" w:rsidR="009B7DAE" w:rsidRDefault="009B7DAE" w:rsidP="009B108A"/>
    <w:p w14:paraId="460682EB" w14:textId="77777777" w:rsidR="009B7DAE" w:rsidRDefault="009B7DAE" w:rsidP="009B108A"/>
    <w:p w14:paraId="645271DB" w14:textId="77777777" w:rsidR="009B7DAE" w:rsidRDefault="009B7DAE" w:rsidP="009B108A"/>
    <w:p w14:paraId="38A0CBA7" w14:textId="77777777" w:rsidR="009B7DAE" w:rsidRDefault="009B7DAE" w:rsidP="009B108A"/>
    <w:p w14:paraId="3957E35B" w14:textId="77777777" w:rsidR="009B7DAE" w:rsidRDefault="009B7DAE" w:rsidP="009B108A"/>
    <w:p w14:paraId="25534CCF" w14:textId="77777777" w:rsidR="009B7DAE" w:rsidRDefault="009B7DAE" w:rsidP="009B108A"/>
    <w:p w14:paraId="15998E11" w14:textId="5B2E8CD7" w:rsidR="009B7DAE" w:rsidRDefault="009528A1" w:rsidP="00C748F5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8F4A63" wp14:editId="65041AF5">
            <wp:simplePos x="0" y="0"/>
            <wp:positionH relativeFrom="column">
              <wp:posOffset>3877754</wp:posOffset>
            </wp:positionH>
            <wp:positionV relativeFrom="paragraph">
              <wp:posOffset>8255</wp:posOffset>
            </wp:positionV>
            <wp:extent cx="2207895" cy="3786505"/>
            <wp:effectExtent l="0" t="0" r="1905" b="4445"/>
            <wp:wrapTight wrapText="bothSides">
              <wp:wrapPolygon edited="0">
                <wp:start x="0" y="0"/>
                <wp:lineTo x="0" y="21517"/>
                <wp:lineTo x="21432" y="21517"/>
                <wp:lineTo x="21432" y="0"/>
                <wp:lineTo x="0" y="0"/>
              </wp:wrapPolygon>
            </wp:wrapTight>
            <wp:docPr id="53744805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48054" name=""/>
                    <pic:cNvPicPr/>
                  </pic:nvPicPr>
                  <pic:blipFill rotWithShape="1">
                    <a:blip r:embed="rId11"/>
                    <a:srcRect l="3247" t="1296" r="4389" b="3876"/>
                    <a:stretch/>
                  </pic:blipFill>
                  <pic:spPr bwMode="auto">
                    <a:xfrm>
                      <a:off x="0" y="0"/>
                      <a:ext cx="2207895" cy="378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AE">
        <w:t xml:space="preserve">Hvilken lighed er der mellem NFR-receptorer fra bælgplanter og </w:t>
      </w:r>
      <w:r>
        <w:t>RLK-receptorer fra byg? Inddrag figuren til højre (vist s. 13 i artiklen)</w:t>
      </w:r>
      <w:r>
        <w:rPr>
          <w:noProof/>
        </w:rPr>
        <w:t>.</w:t>
      </w:r>
    </w:p>
    <w:p w14:paraId="1B1D7A61" w14:textId="06519D2A" w:rsidR="009528A1" w:rsidRDefault="009528A1" w:rsidP="009B7DAE">
      <w:pPr>
        <w:pStyle w:val="ListParagraph"/>
        <w:numPr>
          <w:ilvl w:val="0"/>
          <w:numId w:val="3"/>
        </w:numPr>
      </w:pPr>
      <w:r>
        <w:rPr>
          <w:noProof/>
        </w:rPr>
        <w:t>Forklar hvordan det er muligt at få RLK-receptorer til at medvirke til etablering af en symbiose (og indtil videre i hvilke planter?)</w:t>
      </w:r>
    </w:p>
    <w:p w14:paraId="1CA6C121" w14:textId="25C2791F" w:rsidR="009528A1" w:rsidRDefault="009528A1" w:rsidP="009B7DAE">
      <w:pPr>
        <w:pStyle w:val="ListParagraph"/>
        <w:numPr>
          <w:ilvl w:val="0"/>
          <w:numId w:val="3"/>
        </w:numPr>
      </w:pPr>
      <w:r>
        <w:rPr>
          <w:noProof/>
        </w:rPr>
        <w:t>Hvilke udfordringer har forskerne med at studere NFR- og RLK-receptorer, og hvordan forsøger de at løse dem?</w:t>
      </w:r>
    </w:p>
    <w:p w14:paraId="2949DB0C" w14:textId="77777777" w:rsidR="009B108A" w:rsidRDefault="009B108A" w:rsidP="009B108A"/>
    <w:p w14:paraId="6D9DB1E9" w14:textId="1F314FA4" w:rsidR="009B108A" w:rsidRDefault="009B108A" w:rsidP="009B108A"/>
    <w:p w14:paraId="2269E19E" w14:textId="3D22343A" w:rsidR="009B108A" w:rsidRDefault="009B108A" w:rsidP="009B108A"/>
    <w:p w14:paraId="6FB56B95" w14:textId="32660C5B" w:rsidR="009B108A" w:rsidRDefault="009B108A" w:rsidP="009B108A"/>
    <w:p w14:paraId="2FFC73DF" w14:textId="58442848" w:rsidR="009B108A" w:rsidRDefault="009B108A" w:rsidP="009B108A"/>
    <w:p w14:paraId="31D8B6E6" w14:textId="4537A60C" w:rsidR="009B108A" w:rsidRDefault="009B108A" w:rsidP="009B108A"/>
    <w:p w14:paraId="699E637B" w14:textId="77777777" w:rsidR="009B108A" w:rsidRDefault="009B108A" w:rsidP="009B108A"/>
    <w:p w14:paraId="56F962D0" w14:textId="151EBE46" w:rsidR="009B108A" w:rsidRDefault="009B108A" w:rsidP="009B108A"/>
    <w:p w14:paraId="07DD85A5" w14:textId="1E2D32DF" w:rsidR="009B108A" w:rsidRDefault="009B108A" w:rsidP="009B108A"/>
    <w:p w14:paraId="7A9A0E2D" w14:textId="70FBE36D" w:rsidR="009B108A" w:rsidRDefault="009B108A" w:rsidP="009B108A"/>
    <w:p w14:paraId="4F46088F" w14:textId="77777777" w:rsidR="009B108A" w:rsidRDefault="009B108A" w:rsidP="009B108A"/>
    <w:p w14:paraId="0F9BA091" w14:textId="17739FEF" w:rsidR="00E510E9" w:rsidRDefault="00E510E9" w:rsidP="00E510E9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undervisningsmaterialer</w:t>
      </w:r>
    </w:p>
    <w:p w14:paraId="1E8CF487" w14:textId="2933BED2" w:rsidR="00E510E9" w:rsidRDefault="00765D15" w:rsidP="00E510E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12" w:history="1">
        <w:r w:rsidR="00E510E9" w:rsidRPr="00D2423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Våde marker giver mere lattergas</w:t>
        </w:r>
      </w:hyperlink>
      <w:r w:rsidR="00E510E9" w:rsidRPr="00E510E9">
        <w:rPr>
          <w:rFonts w:asciiTheme="minorHAnsi" w:eastAsiaTheme="minorHAnsi" w:hAnsiTheme="minorHAnsi" w:cstheme="minorBidi"/>
          <w:color w:val="auto"/>
          <w:sz w:val="22"/>
          <w:szCs w:val="22"/>
        </w:rPr>
        <w:t>, 2/2019, s. 14-16.</w:t>
      </w:r>
    </w:p>
    <w:p w14:paraId="552DC15E" w14:textId="77777777" w:rsidR="004C13CA" w:rsidRDefault="004C13CA" w:rsidP="00E510E9">
      <w:pPr>
        <w:rPr>
          <w:rStyle w:val="Hyperlink"/>
        </w:rPr>
      </w:pPr>
    </w:p>
    <w:p w14:paraId="03091EC6" w14:textId="5E6717E5" w:rsidR="004C13CA" w:rsidRDefault="004C13CA" w:rsidP="004C13CA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Vejledning til eksperiment med </w:t>
      </w:r>
      <w:proofErr w:type="spellStart"/>
      <w:r>
        <w:rPr>
          <w:b/>
          <w:color w:val="auto"/>
        </w:rPr>
        <w:t>Rhizobium</w:t>
      </w:r>
      <w:proofErr w:type="spellEnd"/>
      <w:r>
        <w:rPr>
          <w:b/>
          <w:color w:val="auto"/>
        </w:rPr>
        <w:t xml:space="preserve"> og Lucerne</w:t>
      </w:r>
      <w:r w:rsidR="00765D15">
        <w:rPr>
          <w:b/>
          <w:color w:val="auto"/>
        </w:rPr>
        <w:t xml:space="preserve">: </w:t>
      </w:r>
    </w:p>
    <w:p w14:paraId="38658CB2" w14:textId="3682DB24" w:rsidR="004C13CA" w:rsidRDefault="00765D15" w:rsidP="004C13CA">
      <w:hyperlink r:id="rId13" w:history="1">
        <w:r w:rsidR="008D42DB" w:rsidRPr="00765D15">
          <w:rPr>
            <w:rStyle w:val="Hyperlink"/>
          </w:rPr>
          <w:t>Hent fil med beskrivelsen</w:t>
        </w:r>
      </w:hyperlink>
      <w:r w:rsidR="008D42DB">
        <w:t xml:space="preserve"> </w:t>
      </w:r>
      <w:r>
        <w:t>(</w:t>
      </w:r>
      <w:proofErr w:type="spellStart"/>
      <w:r>
        <w:t>word</w:t>
      </w:r>
      <w:proofErr w:type="spellEnd"/>
      <w:r>
        <w:t xml:space="preserve"> </w:t>
      </w:r>
      <w:r w:rsidR="008D42DB">
        <w:t>1,5 sider</w:t>
      </w:r>
      <w:r>
        <w:t>)</w:t>
      </w:r>
      <w:r w:rsidR="008D42DB">
        <w:t>.</w:t>
      </w:r>
    </w:p>
    <w:p w14:paraId="0D440633" w14:textId="77777777" w:rsidR="008D42DB" w:rsidRPr="004C13CA" w:rsidRDefault="008D42DB" w:rsidP="004C13CA"/>
    <w:p w14:paraId="19B9E4C7" w14:textId="77777777" w:rsidR="004C13CA" w:rsidRDefault="004C13CA" w:rsidP="00E510E9"/>
    <w:p w14:paraId="2098CAA3" w14:textId="77777777" w:rsidR="00E510E9" w:rsidRPr="00E510E9" w:rsidRDefault="00E510E9" w:rsidP="00E510E9"/>
    <w:sectPr w:rsidR="00E510E9" w:rsidRPr="00E510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4ECC4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A6C"/>
    <w:multiLevelType w:val="hybridMultilevel"/>
    <w:tmpl w:val="1390D1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D84"/>
    <w:multiLevelType w:val="hybridMultilevel"/>
    <w:tmpl w:val="B2CAA3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3597"/>
    <w:multiLevelType w:val="hybridMultilevel"/>
    <w:tmpl w:val="400C9B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543"/>
    <w:multiLevelType w:val="hybridMultilevel"/>
    <w:tmpl w:val="05AE1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913F8"/>
    <w:multiLevelType w:val="hybridMultilevel"/>
    <w:tmpl w:val="9B5A3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25009">
    <w:abstractNumId w:val="1"/>
  </w:num>
  <w:num w:numId="2" w16cid:durableId="1116217639">
    <w:abstractNumId w:val="9"/>
  </w:num>
  <w:num w:numId="3" w16cid:durableId="1601789432">
    <w:abstractNumId w:val="3"/>
  </w:num>
  <w:num w:numId="4" w16cid:durableId="432167855">
    <w:abstractNumId w:val="6"/>
  </w:num>
  <w:num w:numId="5" w16cid:durableId="21787791">
    <w:abstractNumId w:val="8"/>
  </w:num>
  <w:num w:numId="6" w16cid:durableId="2089300072">
    <w:abstractNumId w:val="7"/>
  </w:num>
  <w:num w:numId="7" w16cid:durableId="534848474">
    <w:abstractNumId w:val="0"/>
  </w:num>
  <w:num w:numId="8" w16cid:durableId="1608581695">
    <w:abstractNumId w:val="2"/>
  </w:num>
  <w:num w:numId="9" w16cid:durableId="15431230">
    <w:abstractNumId w:val="13"/>
  </w:num>
  <w:num w:numId="10" w16cid:durableId="2016373705">
    <w:abstractNumId w:val="11"/>
  </w:num>
  <w:num w:numId="11" w16cid:durableId="1437142871">
    <w:abstractNumId w:val="4"/>
  </w:num>
  <w:num w:numId="12" w16cid:durableId="2010912834">
    <w:abstractNumId w:val="10"/>
  </w:num>
  <w:num w:numId="13" w16cid:durableId="777408282">
    <w:abstractNumId w:val="12"/>
  </w:num>
  <w:num w:numId="14" w16cid:durableId="1079711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6428"/>
    <w:rsid w:val="00036B5E"/>
    <w:rsid w:val="0009230A"/>
    <w:rsid w:val="000957E7"/>
    <w:rsid w:val="000A17EB"/>
    <w:rsid w:val="000A6BC6"/>
    <w:rsid w:val="000D25FF"/>
    <w:rsid w:val="000E6F17"/>
    <w:rsid w:val="00103A65"/>
    <w:rsid w:val="001041F2"/>
    <w:rsid w:val="001226F1"/>
    <w:rsid w:val="00140D26"/>
    <w:rsid w:val="00141734"/>
    <w:rsid w:val="00145E03"/>
    <w:rsid w:val="00151360"/>
    <w:rsid w:val="00184A82"/>
    <w:rsid w:val="00185431"/>
    <w:rsid w:val="001910EA"/>
    <w:rsid w:val="001A1A9F"/>
    <w:rsid w:val="001A309B"/>
    <w:rsid w:val="001C4157"/>
    <w:rsid w:val="001D726A"/>
    <w:rsid w:val="001E37CB"/>
    <w:rsid w:val="001E445F"/>
    <w:rsid w:val="001E5C19"/>
    <w:rsid w:val="001F3C7D"/>
    <w:rsid w:val="001F478C"/>
    <w:rsid w:val="00200FA5"/>
    <w:rsid w:val="00202A26"/>
    <w:rsid w:val="00217019"/>
    <w:rsid w:val="0023556B"/>
    <w:rsid w:val="00241DA6"/>
    <w:rsid w:val="00250F11"/>
    <w:rsid w:val="0025105A"/>
    <w:rsid w:val="00271460"/>
    <w:rsid w:val="00272510"/>
    <w:rsid w:val="0027416C"/>
    <w:rsid w:val="0027628D"/>
    <w:rsid w:val="002A2296"/>
    <w:rsid w:val="002E1517"/>
    <w:rsid w:val="002E48E1"/>
    <w:rsid w:val="002E6805"/>
    <w:rsid w:val="00323F98"/>
    <w:rsid w:val="00327AC4"/>
    <w:rsid w:val="003343A3"/>
    <w:rsid w:val="00346A16"/>
    <w:rsid w:val="003504D4"/>
    <w:rsid w:val="003A4534"/>
    <w:rsid w:val="003C341F"/>
    <w:rsid w:val="003D50FF"/>
    <w:rsid w:val="003D522A"/>
    <w:rsid w:val="003D5E50"/>
    <w:rsid w:val="003D7F2E"/>
    <w:rsid w:val="00405970"/>
    <w:rsid w:val="00416079"/>
    <w:rsid w:val="00434A3D"/>
    <w:rsid w:val="0044253B"/>
    <w:rsid w:val="004B55D7"/>
    <w:rsid w:val="004B56A2"/>
    <w:rsid w:val="004C13CA"/>
    <w:rsid w:val="004D34F1"/>
    <w:rsid w:val="004E205B"/>
    <w:rsid w:val="00520C6F"/>
    <w:rsid w:val="00577F8E"/>
    <w:rsid w:val="00591F46"/>
    <w:rsid w:val="005A4B69"/>
    <w:rsid w:val="005A73A1"/>
    <w:rsid w:val="005B47A6"/>
    <w:rsid w:val="005C00D7"/>
    <w:rsid w:val="005C3544"/>
    <w:rsid w:val="005D0DB9"/>
    <w:rsid w:val="005E7AC3"/>
    <w:rsid w:val="005F1A88"/>
    <w:rsid w:val="006067A3"/>
    <w:rsid w:val="006314B5"/>
    <w:rsid w:val="00637604"/>
    <w:rsid w:val="006429C0"/>
    <w:rsid w:val="006E2424"/>
    <w:rsid w:val="006F1B51"/>
    <w:rsid w:val="006F6ADC"/>
    <w:rsid w:val="00720615"/>
    <w:rsid w:val="007329A7"/>
    <w:rsid w:val="00765D15"/>
    <w:rsid w:val="007746FA"/>
    <w:rsid w:val="007A0DF0"/>
    <w:rsid w:val="00805677"/>
    <w:rsid w:val="008064B5"/>
    <w:rsid w:val="008102CA"/>
    <w:rsid w:val="008550C0"/>
    <w:rsid w:val="00857E5A"/>
    <w:rsid w:val="0086449E"/>
    <w:rsid w:val="00874577"/>
    <w:rsid w:val="008B6282"/>
    <w:rsid w:val="008D42DB"/>
    <w:rsid w:val="008D576B"/>
    <w:rsid w:val="008F49F6"/>
    <w:rsid w:val="008F5CDE"/>
    <w:rsid w:val="00913ADF"/>
    <w:rsid w:val="00937F9D"/>
    <w:rsid w:val="009528A1"/>
    <w:rsid w:val="00953F41"/>
    <w:rsid w:val="009552FA"/>
    <w:rsid w:val="00961AE2"/>
    <w:rsid w:val="00975C7B"/>
    <w:rsid w:val="00982566"/>
    <w:rsid w:val="009B108A"/>
    <w:rsid w:val="009B1215"/>
    <w:rsid w:val="009B7DAE"/>
    <w:rsid w:val="009C366F"/>
    <w:rsid w:val="009C6C94"/>
    <w:rsid w:val="009E1ED8"/>
    <w:rsid w:val="00A2011F"/>
    <w:rsid w:val="00A952F6"/>
    <w:rsid w:val="00AB3A11"/>
    <w:rsid w:val="00B162C9"/>
    <w:rsid w:val="00B264FD"/>
    <w:rsid w:val="00B45422"/>
    <w:rsid w:val="00B67295"/>
    <w:rsid w:val="00B75820"/>
    <w:rsid w:val="00B84FF0"/>
    <w:rsid w:val="00B9709A"/>
    <w:rsid w:val="00BB69E1"/>
    <w:rsid w:val="00BC52BF"/>
    <w:rsid w:val="00BD1291"/>
    <w:rsid w:val="00BF5D3B"/>
    <w:rsid w:val="00C30797"/>
    <w:rsid w:val="00C50755"/>
    <w:rsid w:val="00C748F5"/>
    <w:rsid w:val="00CA101B"/>
    <w:rsid w:val="00CA618C"/>
    <w:rsid w:val="00CB72C5"/>
    <w:rsid w:val="00CF1844"/>
    <w:rsid w:val="00D01116"/>
    <w:rsid w:val="00D22D66"/>
    <w:rsid w:val="00D231C2"/>
    <w:rsid w:val="00D2423B"/>
    <w:rsid w:val="00D336E4"/>
    <w:rsid w:val="00D94ABE"/>
    <w:rsid w:val="00DB5A3D"/>
    <w:rsid w:val="00DC2455"/>
    <w:rsid w:val="00DD021B"/>
    <w:rsid w:val="00DF2976"/>
    <w:rsid w:val="00E03D85"/>
    <w:rsid w:val="00E25EC1"/>
    <w:rsid w:val="00E27997"/>
    <w:rsid w:val="00E33DBA"/>
    <w:rsid w:val="00E510E9"/>
    <w:rsid w:val="00E66ED3"/>
    <w:rsid w:val="00E87F5C"/>
    <w:rsid w:val="00E923A6"/>
    <w:rsid w:val="00ED0544"/>
    <w:rsid w:val="00ED7DE4"/>
    <w:rsid w:val="00EF5A21"/>
    <w:rsid w:val="00F24ACB"/>
    <w:rsid w:val="00F37B31"/>
    <w:rsid w:val="00F44512"/>
    <w:rsid w:val="00F50AEB"/>
    <w:rsid w:val="00F5467A"/>
    <w:rsid w:val="00F74720"/>
    <w:rsid w:val="00F854A8"/>
    <w:rsid w:val="00F87C4E"/>
    <w:rsid w:val="00FC48A6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2A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undervisningsmateriale/quizzer/biologi/quiz-selv-goedende-planter" TargetMode="External"/><Relationship Id="rId13" Type="http://schemas.openxmlformats.org/officeDocument/2006/relationships/hyperlink" Target="https://aktuelnaturvidenskab.dk/fileadmin/Aktuel_Naturvidenskab/opgaver/Forsoeg-med-Rhizobium-og-lucerne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aktuelnaturvidenskab.dk/fileadmin/Aktuel_Naturvidenskab/nr-1/AN1-2024-dff-selvgoedende-planter.pdf" TargetMode="External"/><Relationship Id="rId12" Type="http://schemas.openxmlformats.org/officeDocument/2006/relationships/hyperlink" Target="https://aktuelnaturvidenskab.dk/fileadmin/Aktuel_Naturvidenskab/nr-2/AN2-2019lattergas-fra-mar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nd-artikel/nyeste-numre/1-2024/forskning-baner-vejen-for-selv-goedende-planter-til-landbruge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1B79-4527-4AD4-90F9-F6302F7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9</cp:revision>
  <dcterms:created xsi:type="dcterms:W3CDTF">2024-03-16T12:30:00Z</dcterms:created>
  <dcterms:modified xsi:type="dcterms:W3CDTF">2024-04-19T08:14:00Z</dcterms:modified>
</cp:coreProperties>
</file>