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13" w:rsidRPr="00A5051C" w:rsidRDefault="00FD5BD6" w:rsidP="00A5051C">
      <w:pPr>
        <w:jc w:val="center"/>
        <w:rPr>
          <w:bCs/>
          <w:sz w:val="44"/>
          <w:szCs w:val="44"/>
        </w:rPr>
      </w:pPr>
      <w:r w:rsidRPr="00A5051C">
        <w:rPr>
          <w:bCs/>
          <w:sz w:val="44"/>
          <w:szCs w:val="44"/>
        </w:rPr>
        <w:t>Arbejdsark om smagen af grøn mad</w:t>
      </w:r>
    </w:p>
    <w:p w:rsidR="00FD5BD6" w:rsidRPr="00A5051C" w:rsidRDefault="00A5051C" w:rsidP="00A5051C">
      <w:pPr>
        <w:jc w:val="center"/>
        <w:rPr>
          <w:sz w:val="28"/>
          <w:szCs w:val="28"/>
        </w:rPr>
      </w:pPr>
      <w:r w:rsidRPr="00A5051C">
        <w:rPr>
          <w:sz w:val="28"/>
          <w:szCs w:val="28"/>
        </w:rPr>
        <w:t>Udarbejdet af Ole G. Mouritsen</w:t>
      </w:r>
      <w:r w:rsidR="00883BB2">
        <w:rPr>
          <w:sz w:val="28"/>
          <w:szCs w:val="28"/>
        </w:rPr>
        <w:br/>
      </w:r>
      <w:r w:rsidR="00883BB2" w:rsidRPr="00340F55">
        <w:t>Fag: Biologi A, kemi A og B</w:t>
      </w:r>
      <w:r w:rsidR="00340F55" w:rsidRPr="00340F55">
        <w:t xml:space="preserve"> samt bioteknologi A</w:t>
      </w:r>
    </w:p>
    <w:p w:rsidR="00A5051C" w:rsidRDefault="00A5051C">
      <w:pPr>
        <w:rPr>
          <w:sz w:val="32"/>
          <w:szCs w:val="32"/>
        </w:rPr>
      </w:pPr>
    </w:p>
    <w:p w:rsidR="00FD5BD6" w:rsidRPr="00CD7D6D" w:rsidRDefault="00FD5BD6" w:rsidP="00FD5BD6">
      <w:pPr>
        <w:rPr>
          <w:b/>
          <w:bCs/>
        </w:rPr>
      </w:pPr>
      <w:r w:rsidRPr="00CD7D6D">
        <w:rPr>
          <w:b/>
          <w:bCs/>
        </w:rPr>
        <w:t>Artikel</w:t>
      </w:r>
    </w:p>
    <w:p w:rsidR="00FD5BD6" w:rsidRPr="00C96CC6" w:rsidRDefault="00A5051C" w:rsidP="00FD5BD6">
      <w:hyperlink r:id="rId5" w:history="1">
        <w:r w:rsidR="00FD5BD6" w:rsidRPr="00A5051C">
          <w:rPr>
            <w:rStyle w:val="Hyperlink"/>
          </w:rPr>
          <w:t>Opskrift på at spise mere grønt: tilsæt naturvidenskab</w:t>
        </w:r>
      </w:hyperlink>
      <w:r w:rsidR="00FD5BD6" w:rsidRPr="00B95480">
        <w:t xml:space="preserve"> (Ole G. Mouritsen) A</w:t>
      </w:r>
      <w:r w:rsidR="00FD5BD6" w:rsidRPr="00B95480">
        <w:rPr>
          <w:i/>
          <w:iCs/>
        </w:rPr>
        <w:t xml:space="preserve">ktuel Naturvidenskab </w:t>
      </w:r>
      <w:r w:rsidR="000439C0">
        <w:t>6/2019</w:t>
      </w:r>
      <w:r w:rsidR="00C96CC6">
        <w:t xml:space="preserve">. I dette arbejdsark findes supplerende materiale til artiklen om </w:t>
      </w:r>
      <w:proofErr w:type="spellStart"/>
      <w:r w:rsidR="00C96CC6">
        <w:t>Umani</w:t>
      </w:r>
      <w:proofErr w:type="spellEnd"/>
      <w:r w:rsidR="00C96CC6">
        <w:t xml:space="preserve"> og </w:t>
      </w:r>
      <w:proofErr w:type="spellStart"/>
      <w:r w:rsidR="00C96CC6">
        <w:t>kokumi</w:t>
      </w:r>
      <w:proofErr w:type="spellEnd"/>
      <w:r w:rsidR="00C96CC6" w:rsidRPr="00C96CC6">
        <w:rPr>
          <w:bCs/>
          <w:i/>
          <w:iCs/>
        </w:rPr>
        <w:t>.</w:t>
      </w:r>
    </w:p>
    <w:p w:rsidR="00FD5BD6" w:rsidRPr="00B95480" w:rsidRDefault="00FD5BD6" w:rsidP="00FD5BD6"/>
    <w:p w:rsidR="00FD5BD6" w:rsidRPr="00B95480" w:rsidRDefault="00FD5BD6" w:rsidP="00FD5BD6">
      <w:pPr>
        <w:rPr>
          <w:b/>
          <w:bCs/>
        </w:rPr>
      </w:pPr>
      <w:r w:rsidRPr="00B95480">
        <w:rPr>
          <w:b/>
          <w:bCs/>
        </w:rPr>
        <w:t>Forudsætninger</w:t>
      </w:r>
    </w:p>
    <w:p w:rsidR="00FD5BD6" w:rsidRDefault="00FD5BD6" w:rsidP="00FD5BD6">
      <w:r w:rsidRPr="00B95480">
        <w:t xml:space="preserve">Kendskab til opbygningen af de makromolekyler, proteiner, kulhydrater og nukleinsyrer, som indgår i alle levende organismer og dermed i mad. Kendskab til de grundlæggende egenskaber af, hvordan disse makromolekyler organiseres i levende systemer og dermed indsigt </w:t>
      </w:r>
      <w:r w:rsidR="00CD7D6D">
        <w:t xml:space="preserve">i </w:t>
      </w:r>
      <w:r w:rsidRPr="00B95480">
        <w:t xml:space="preserve">biologisk struktur, som er grundlaget for dannelse af madens tekstur. </w:t>
      </w:r>
    </w:p>
    <w:p w:rsidR="00B95480" w:rsidRDefault="00B95480" w:rsidP="00FD5BD6"/>
    <w:p w:rsidR="00B95480" w:rsidRPr="00B95480" w:rsidRDefault="00B95480" w:rsidP="00FD5BD6">
      <w:pPr>
        <w:rPr>
          <w:b/>
          <w:bCs/>
        </w:rPr>
      </w:pPr>
      <w:r w:rsidRPr="00B95480">
        <w:rPr>
          <w:b/>
          <w:bCs/>
        </w:rPr>
        <w:t>Anvendelse</w:t>
      </w:r>
    </w:p>
    <w:p w:rsidR="00B95480" w:rsidRDefault="00B95480" w:rsidP="00B95480">
      <w:pPr>
        <w:rPr>
          <w:b/>
        </w:rPr>
      </w:pPr>
      <w:r>
        <w:t xml:space="preserve">Artiklen kan fx anvendes i et tematisk forløb i kemi A eller bioteknologi A med titlen </w:t>
      </w:r>
      <w:r w:rsidRPr="00CD7D6D">
        <w:rPr>
          <w:i/>
          <w:iCs/>
        </w:rPr>
        <w:t>molekylær gastronomi</w:t>
      </w:r>
      <w:r>
        <w:t xml:space="preserve"> sammen med andre artikler fra Aktuel Naturvidenskab. Her kan også fysik medvirke. Artiklen kan også anvendes i mere traditionelle biokemiske forløb i kemi A eller</w:t>
      </w:r>
      <w:r w:rsidRPr="00874577">
        <w:t xml:space="preserve"> </w:t>
      </w:r>
      <w:r>
        <w:t>bioteknologi A. I kemi B kan artiklen indgå i forløb om makromolekyler, hvor ma</w:t>
      </w:r>
      <w:bookmarkStart w:id="0" w:name="_GoBack"/>
      <w:bookmarkEnd w:id="0"/>
      <w:r>
        <w:t>n kan bruge proteiner</w:t>
      </w:r>
      <w:r w:rsidR="00CD7D6D">
        <w:t>, kulhydrater og nukleinsyrer</w:t>
      </w:r>
      <w:r>
        <w:t xml:space="preserve"> som eksemp</w:t>
      </w:r>
      <w:r w:rsidR="00CD7D6D">
        <w:t>ler</w:t>
      </w:r>
      <w:r>
        <w:t xml:space="preserve"> på biologisk vigtige makromolekyler, hvilket vil være velegnet på en studieretning med biologi A.</w:t>
      </w:r>
      <w:r w:rsidR="003B668C">
        <w:t xml:space="preserve"> </w:t>
      </w:r>
      <w:r>
        <w:t xml:space="preserve">Endeligt kunne man forestille sig at artiklen sammen med andre artikler fra Aktuel Naturvidenskab indgik i et fagligt projektsamarbejde mellem biologi A og kemi B eller som et projektorienteret arbejde i bioteknologi A med titlen </w:t>
      </w:r>
      <w:r w:rsidRPr="00CD7D6D">
        <w:rPr>
          <w:i/>
          <w:iCs/>
        </w:rPr>
        <w:t>Madens indhold, struktur og smag</w:t>
      </w:r>
      <w:r>
        <w:t xml:space="preserve">. I dette samarbejde kan fysik eller matematik også indgå. </w:t>
      </w:r>
    </w:p>
    <w:p w:rsidR="00FD5BD6" w:rsidRPr="00B95480" w:rsidRDefault="00FD5BD6" w:rsidP="00FD5BD6"/>
    <w:p w:rsidR="00FD5BD6" w:rsidRPr="00B95480" w:rsidRDefault="00FD5BD6" w:rsidP="00FD5BD6">
      <w:pPr>
        <w:rPr>
          <w:b/>
          <w:bCs/>
        </w:rPr>
      </w:pPr>
      <w:r w:rsidRPr="00B95480">
        <w:rPr>
          <w:b/>
          <w:bCs/>
        </w:rPr>
        <w:t>Arbejdsspørgsmål</w:t>
      </w:r>
      <w:r w:rsidR="005C5597" w:rsidRPr="00B95480">
        <w:rPr>
          <w:b/>
          <w:bCs/>
        </w:rPr>
        <w:t>, indledende</w:t>
      </w:r>
    </w:p>
    <w:p w:rsidR="00FD5BD6" w:rsidRPr="00B95480" w:rsidRDefault="00FD5BD6" w:rsidP="00FD5BD6">
      <w:pPr>
        <w:pStyle w:val="ListParagraph"/>
        <w:numPr>
          <w:ilvl w:val="0"/>
          <w:numId w:val="1"/>
        </w:numPr>
      </w:pPr>
      <w:r w:rsidRPr="00B95480">
        <w:t>Defin</w:t>
      </w:r>
      <w:r w:rsidR="00CD7D6D">
        <w:t>é</w:t>
      </w:r>
      <w:r w:rsidRPr="00B95480">
        <w:t>r grundsmag, og beskriv de fem grundsmage, som tilsammen danner alle mulige smage.</w:t>
      </w:r>
    </w:p>
    <w:p w:rsidR="00FD5BD6" w:rsidRPr="00B95480" w:rsidRDefault="00FD5BD6" w:rsidP="00FD5BD6">
      <w:pPr>
        <w:pStyle w:val="ListParagraph"/>
        <w:numPr>
          <w:ilvl w:val="0"/>
          <w:numId w:val="1"/>
        </w:numPr>
      </w:pPr>
      <w:r w:rsidRPr="00B95480">
        <w:t>Beskriv forskellen på en smag og en smagsoplevelse, som omfatter alle fem sanser.</w:t>
      </w:r>
    </w:p>
    <w:p w:rsidR="00FD5BD6" w:rsidRPr="00B95480" w:rsidRDefault="00FD5BD6" w:rsidP="00FD5BD6">
      <w:pPr>
        <w:pStyle w:val="ListParagraph"/>
        <w:numPr>
          <w:ilvl w:val="0"/>
          <w:numId w:val="1"/>
        </w:numPr>
      </w:pPr>
      <w:r w:rsidRPr="00B95480">
        <w:t>Defin</w:t>
      </w:r>
      <w:r w:rsidR="005C5597" w:rsidRPr="00B95480">
        <w:t>er tekstur og beskriv forskellen på struktur og tekstur.</w:t>
      </w:r>
    </w:p>
    <w:p w:rsidR="005C5597" w:rsidRPr="00B95480" w:rsidRDefault="005C5597" w:rsidP="00FD5BD6">
      <w:pPr>
        <w:pStyle w:val="ListParagraph"/>
        <w:numPr>
          <w:ilvl w:val="0"/>
          <w:numId w:val="1"/>
        </w:numPr>
      </w:pPr>
      <w:r w:rsidRPr="00B95480">
        <w:t xml:space="preserve">Beskriv opbygningen af kulhydrater, proteiner og nukleinsyrer i deres </w:t>
      </w:r>
      <w:proofErr w:type="spellStart"/>
      <w:r w:rsidRPr="00B95480">
        <w:t>elementarblokke</w:t>
      </w:r>
      <w:proofErr w:type="spellEnd"/>
      <w:r w:rsidRPr="00B95480">
        <w:t xml:space="preserve"> af sukre, aminosyrer og nukleotider.</w:t>
      </w:r>
    </w:p>
    <w:p w:rsidR="005C5597" w:rsidRPr="00B95480" w:rsidRDefault="005C5597" w:rsidP="00FD5BD6">
      <w:pPr>
        <w:pStyle w:val="ListParagraph"/>
        <w:numPr>
          <w:ilvl w:val="0"/>
          <w:numId w:val="1"/>
        </w:numPr>
      </w:pPr>
      <w:r w:rsidRPr="00B95480">
        <w:t xml:space="preserve">Hvordan smager </w:t>
      </w:r>
      <w:r w:rsidR="00CD7D6D">
        <w:t xml:space="preserve">makromolekylerne i forhold til deres </w:t>
      </w:r>
      <w:proofErr w:type="spellStart"/>
      <w:r w:rsidR="00CD7D6D">
        <w:t>elementarblokke</w:t>
      </w:r>
      <w:proofErr w:type="spellEnd"/>
      <w:r w:rsidR="00CD7D6D">
        <w:t xml:space="preserve">? Giv eksempler. </w:t>
      </w:r>
    </w:p>
    <w:p w:rsidR="00FD5BD6" w:rsidRPr="00B95480" w:rsidRDefault="005C5597" w:rsidP="005C5597">
      <w:pPr>
        <w:pStyle w:val="ListParagraph"/>
        <w:numPr>
          <w:ilvl w:val="0"/>
          <w:numId w:val="1"/>
        </w:numPr>
      </w:pPr>
      <w:r w:rsidRPr="00B95480">
        <w:t xml:space="preserve">Beskriv den </w:t>
      </w:r>
      <w:proofErr w:type="spellStart"/>
      <w:r w:rsidRPr="00B95480">
        <w:t>synergistiske</w:t>
      </w:r>
      <w:proofErr w:type="spellEnd"/>
      <w:r w:rsidRPr="00B95480">
        <w:t xml:space="preserve"> mekanisme i </w:t>
      </w:r>
      <w:proofErr w:type="spellStart"/>
      <w:r w:rsidRPr="00B95480">
        <w:t>umami</w:t>
      </w:r>
      <w:proofErr w:type="spellEnd"/>
      <w:r w:rsidRPr="00B95480">
        <w:t xml:space="preserve">-smagen. Benyt </w:t>
      </w:r>
      <w:r w:rsidR="00C96CC6">
        <w:t xml:space="preserve">det supplerende materiale nedenfor og </w:t>
      </w:r>
      <w:r w:rsidRPr="00B95480">
        <w:t>evt.</w:t>
      </w:r>
      <w:r w:rsidR="00C96CC6">
        <w:t xml:space="preserve"> artiklen</w:t>
      </w:r>
      <w:r w:rsidRPr="00B95480">
        <w:t xml:space="preserve"> </w:t>
      </w:r>
      <w:hyperlink r:id="rId6" w:history="1">
        <w:r w:rsidR="00FD5BD6" w:rsidRPr="00B95480">
          <w:rPr>
            <w:rStyle w:val="Hyperlink"/>
          </w:rPr>
          <w:t>Velsmag – sådan virker det!</w:t>
        </w:r>
      </w:hyperlink>
      <w:r w:rsidR="00FD5BD6" w:rsidRPr="00B95480">
        <w:t>, 4/2012, s. 6-9.</w:t>
      </w:r>
      <w:r w:rsidR="00C96CC6">
        <w:t xml:space="preserve"> </w:t>
      </w:r>
    </w:p>
    <w:p w:rsidR="005C5597" w:rsidRPr="00B95480" w:rsidRDefault="005C5597" w:rsidP="005C5597"/>
    <w:p w:rsidR="005C5597" w:rsidRPr="00B95480" w:rsidRDefault="005C5597" w:rsidP="005C5597">
      <w:pPr>
        <w:rPr>
          <w:b/>
          <w:bCs/>
        </w:rPr>
      </w:pPr>
      <w:r w:rsidRPr="00B95480">
        <w:rPr>
          <w:b/>
          <w:bCs/>
        </w:rPr>
        <w:t>Arbejdsspørgsmål, specifikke</w:t>
      </w:r>
    </w:p>
    <w:p w:rsidR="005C5597" w:rsidRPr="00B95480" w:rsidRDefault="005C5597" w:rsidP="005C5597">
      <w:pPr>
        <w:pStyle w:val="ListParagraph"/>
        <w:numPr>
          <w:ilvl w:val="0"/>
          <w:numId w:val="2"/>
        </w:numPr>
      </w:pPr>
      <w:r w:rsidRPr="00B95480">
        <w:t>Definér, hvad grøn mad er.</w:t>
      </w:r>
    </w:p>
    <w:p w:rsidR="005C5597" w:rsidRPr="00B95480" w:rsidRDefault="005C5597" w:rsidP="005C5597">
      <w:pPr>
        <w:pStyle w:val="ListParagraph"/>
        <w:numPr>
          <w:ilvl w:val="0"/>
          <w:numId w:val="2"/>
        </w:numPr>
      </w:pPr>
      <w:r w:rsidRPr="00B95480">
        <w:t>Hvilke vigtige grundsmage mangler grøn mad, og hvorfor?</w:t>
      </w:r>
    </w:p>
    <w:p w:rsidR="005C5597" w:rsidRPr="00B95480" w:rsidRDefault="005C5597" w:rsidP="005C5597">
      <w:pPr>
        <w:pStyle w:val="ListParagraph"/>
        <w:numPr>
          <w:ilvl w:val="0"/>
          <w:numId w:val="2"/>
        </w:numPr>
      </w:pPr>
      <w:r w:rsidRPr="00B95480">
        <w:t xml:space="preserve">Beskriv forskellige måder, hvorpå man kan give grøn mad </w:t>
      </w:r>
      <w:r w:rsidR="00CD7D6D">
        <w:t xml:space="preserve">netop </w:t>
      </w:r>
      <w:r w:rsidRPr="00B95480">
        <w:t>de grundsmage, som den eventuelt mangler.</w:t>
      </w:r>
    </w:p>
    <w:p w:rsidR="005C5597" w:rsidRPr="00B95480" w:rsidRDefault="005C5597" w:rsidP="005C5597">
      <w:pPr>
        <w:pStyle w:val="ListParagraph"/>
        <w:numPr>
          <w:ilvl w:val="0"/>
          <w:numId w:val="2"/>
        </w:numPr>
      </w:pPr>
      <w:r w:rsidRPr="00B95480">
        <w:t>Hvad er fermentering?</w:t>
      </w:r>
    </w:p>
    <w:p w:rsidR="005C5597" w:rsidRPr="00B95480" w:rsidRDefault="005C5597" w:rsidP="005C5597">
      <w:pPr>
        <w:pStyle w:val="ListParagraph"/>
        <w:numPr>
          <w:ilvl w:val="0"/>
          <w:numId w:val="2"/>
        </w:numPr>
      </w:pPr>
      <w:r w:rsidRPr="00B95480">
        <w:t>Hvordan kan fermentering påvirke kulhydrater, proteiner og nukleinsyrer, og hvad betyder det for smagen?</w:t>
      </w:r>
    </w:p>
    <w:p w:rsidR="005C5597" w:rsidRPr="00B95480" w:rsidRDefault="005C5597" w:rsidP="005C5597">
      <w:pPr>
        <w:pStyle w:val="ListParagraph"/>
        <w:numPr>
          <w:ilvl w:val="0"/>
          <w:numId w:val="2"/>
        </w:numPr>
      </w:pPr>
      <w:r w:rsidRPr="00B95480">
        <w:lastRenderedPageBreak/>
        <w:t>Hvordan kan man dæmpe grøntsagers (f.eks. kål</w:t>
      </w:r>
      <w:r w:rsidR="00CD7D6D">
        <w:t>s</w:t>
      </w:r>
      <w:r w:rsidRPr="00B95480">
        <w:t>) bitre smage?</w:t>
      </w:r>
    </w:p>
    <w:p w:rsidR="0003702A" w:rsidRPr="00B95480" w:rsidRDefault="0003702A" w:rsidP="005C5597">
      <w:pPr>
        <w:pStyle w:val="ListParagraph"/>
        <w:numPr>
          <w:ilvl w:val="0"/>
          <w:numId w:val="2"/>
        </w:numPr>
      </w:pPr>
      <w:r w:rsidRPr="00B95480">
        <w:t xml:space="preserve">Hvad er </w:t>
      </w:r>
      <w:proofErr w:type="spellStart"/>
      <w:r w:rsidRPr="00B95480">
        <w:rPr>
          <w:i/>
          <w:iCs/>
        </w:rPr>
        <w:t>koji</w:t>
      </w:r>
      <w:proofErr w:type="spellEnd"/>
      <w:r w:rsidRPr="00B95480">
        <w:t>, og hvordan virker det?</w:t>
      </w:r>
    </w:p>
    <w:p w:rsidR="005C5597" w:rsidRDefault="005C5597" w:rsidP="005C5597">
      <w:pPr>
        <w:pStyle w:val="ListParagraph"/>
        <w:numPr>
          <w:ilvl w:val="0"/>
          <w:numId w:val="2"/>
        </w:numPr>
      </w:pPr>
      <w:r w:rsidRPr="00B95480">
        <w:t xml:space="preserve">I artiklen </w:t>
      </w:r>
      <w:r w:rsidR="00CD7D6D">
        <w:t>antydes</w:t>
      </w:r>
      <w:r w:rsidRPr="00B95480">
        <w:t xml:space="preserve">, at det er kalorieneutralt, at kulhydrater i en bestemt fødevare nedbrydes inden vi spiser dem (f.eks. ved fermentering), </w:t>
      </w:r>
      <w:r w:rsidR="00CD7D6D">
        <w:t>i forhold til, at</w:t>
      </w:r>
      <w:r w:rsidRPr="00B95480">
        <w:t xml:space="preserve"> det først sker i mave og tarm. Giv et argument for, at dette måske ikke er helt korrekt.</w:t>
      </w:r>
    </w:p>
    <w:p w:rsidR="00343684" w:rsidRPr="00B95480" w:rsidRDefault="00343684" w:rsidP="005C5597">
      <w:pPr>
        <w:pStyle w:val="ListParagraph"/>
        <w:numPr>
          <w:ilvl w:val="0"/>
          <w:numId w:val="2"/>
        </w:numPr>
      </w:pPr>
      <w:r>
        <w:t xml:space="preserve">Hvad er </w:t>
      </w:r>
      <w:r w:rsidRPr="00343684">
        <w:rPr>
          <w:i/>
          <w:iCs/>
        </w:rPr>
        <w:t>kokumi</w:t>
      </w:r>
      <w:r>
        <w:t xml:space="preserve">, hvordan fremkaldes det, og hvordan kan vi bruge </w:t>
      </w:r>
      <w:r w:rsidRPr="00343684">
        <w:rPr>
          <w:i/>
          <w:iCs/>
        </w:rPr>
        <w:t>kokumi</w:t>
      </w:r>
      <w:r>
        <w:t xml:space="preserve"> til at gøre grøntsager mere velsmagende.</w:t>
      </w:r>
    </w:p>
    <w:p w:rsidR="0003702A" w:rsidRPr="00B95480" w:rsidRDefault="0003702A" w:rsidP="0003702A"/>
    <w:p w:rsidR="0003702A" w:rsidRPr="00B95480" w:rsidRDefault="0003702A" w:rsidP="0003702A">
      <w:pPr>
        <w:rPr>
          <w:b/>
          <w:bCs/>
        </w:rPr>
      </w:pPr>
      <w:r w:rsidRPr="00B95480">
        <w:rPr>
          <w:b/>
          <w:bCs/>
        </w:rPr>
        <w:t>Køkkeneksperimenter</w:t>
      </w:r>
    </w:p>
    <w:p w:rsidR="0003702A" w:rsidRPr="00B95480" w:rsidRDefault="0003702A" w:rsidP="0003702A">
      <w:pPr>
        <w:pStyle w:val="ListParagraph"/>
        <w:numPr>
          <w:ilvl w:val="0"/>
          <w:numId w:val="3"/>
        </w:numPr>
      </w:pPr>
      <w:r w:rsidRPr="00B95480">
        <w:t>Bryg en kop kaffe. Smag på den. Tilsæt derefter lidt natriumglutamat og smag så på den igen. Beskriv forskellen i smag.</w:t>
      </w:r>
    </w:p>
    <w:p w:rsidR="00B95480" w:rsidRPr="00B95480" w:rsidRDefault="0003702A" w:rsidP="0003702A">
      <w:pPr>
        <w:pStyle w:val="ListParagraph"/>
        <w:numPr>
          <w:ilvl w:val="0"/>
          <w:numId w:val="3"/>
        </w:numPr>
      </w:pPr>
      <w:r w:rsidRPr="00B95480">
        <w:t xml:space="preserve">Split friske agurker på langs, skrab med en ske en våde del med </w:t>
      </w:r>
      <w:proofErr w:type="spellStart"/>
      <w:r w:rsidRPr="00B95480">
        <w:t>kernene</w:t>
      </w:r>
      <w:proofErr w:type="spellEnd"/>
      <w:r w:rsidRPr="00B95480">
        <w:t xml:space="preserve"> ud og tør derefter agurkerne i en tørremaskine/ovn i 12 timer ved omkring 40°C. Skær de tørrede agurker ud i skiver af ca. 5mm tykkelse. Smag på dem og beskriv smag og tekstur i forhold til en frisk agurk. Læg agurk</w:t>
      </w:r>
      <w:r w:rsidR="000439C0">
        <w:t>e</w:t>
      </w:r>
      <w:r w:rsidRPr="00B95480">
        <w:t>skiverne i en salt-, eddike- og sukkerlage, som smages til efter behag, og lad dem trække i lagen i mindst et døgn, før du smager på dem igen. Beskriv nu smag og tekstur. For</w:t>
      </w:r>
      <w:r w:rsidR="000439C0">
        <w:t>t</w:t>
      </w:r>
      <w:r w:rsidRPr="00B95480">
        <w:t>sæt smagningen en gang om dagen over den kommende uge.</w:t>
      </w:r>
    </w:p>
    <w:p w:rsidR="0003702A" w:rsidRDefault="0003702A" w:rsidP="0003702A">
      <w:pPr>
        <w:pStyle w:val="ListParagraph"/>
        <w:numPr>
          <w:ilvl w:val="0"/>
          <w:numId w:val="3"/>
        </w:numPr>
      </w:pPr>
      <w:r w:rsidRPr="00B95480">
        <w:t xml:space="preserve">Anskaf noget </w:t>
      </w:r>
      <w:proofErr w:type="spellStart"/>
      <w:r w:rsidRPr="00B95480">
        <w:rPr>
          <w:i/>
          <w:iCs/>
        </w:rPr>
        <w:t>shio-koji</w:t>
      </w:r>
      <w:proofErr w:type="spellEnd"/>
      <w:r w:rsidR="00973874">
        <w:rPr>
          <w:i/>
          <w:iCs/>
        </w:rPr>
        <w:t xml:space="preserve"> </w:t>
      </w:r>
      <w:r w:rsidR="00973874">
        <w:rPr>
          <w:iCs/>
        </w:rPr>
        <w:t>(kan købes i specialbutikker med orientalske fødevarer)</w:t>
      </w:r>
      <w:r w:rsidRPr="00B95480">
        <w:t xml:space="preserve">. </w:t>
      </w:r>
      <w:r w:rsidR="00B95480" w:rsidRPr="00B95480">
        <w:t>Skær nogle</w:t>
      </w:r>
      <w:r w:rsidRPr="00B95480">
        <w:t xml:space="preserve"> friske og renvaskede grøntsager </w:t>
      </w:r>
      <w:r w:rsidR="00B95480" w:rsidRPr="00B95480">
        <w:t xml:space="preserve">(f.eks. spidskål, broccoli, grønne asparges) </w:t>
      </w:r>
      <w:r w:rsidRPr="00B95480">
        <w:t>op i mindre evt. mundrette stykker, læg dem i en plasticpose, tilsæt</w:t>
      </w:r>
      <w:r w:rsidR="00B95480" w:rsidRPr="00B95480">
        <w:t xml:space="preserve"> en skefuld</w:t>
      </w:r>
      <w:r w:rsidRPr="00B95480">
        <w:t xml:space="preserve"> </w:t>
      </w:r>
      <w:proofErr w:type="spellStart"/>
      <w:r w:rsidRPr="00B95480">
        <w:rPr>
          <w:i/>
          <w:iCs/>
        </w:rPr>
        <w:t>shio-koji</w:t>
      </w:r>
      <w:proofErr w:type="spellEnd"/>
      <w:r w:rsidRPr="00B95480">
        <w:t xml:space="preserve">, pust posen op, luk den og ryst den godt, så alle grøntsagernes flader bliver dækket af </w:t>
      </w:r>
      <w:proofErr w:type="spellStart"/>
      <w:r w:rsidRPr="00B95480">
        <w:rPr>
          <w:i/>
          <w:iCs/>
        </w:rPr>
        <w:t>koji</w:t>
      </w:r>
      <w:proofErr w:type="spellEnd"/>
      <w:r w:rsidRPr="00B95480">
        <w:t xml:space="preserve">. </w:t>
      </w:r>
      <w:r w:rsidR="00B95480" w:rsidRPr="00B95480">
        <w:t>Sæt</w:t>
      </w:r>
      <w:r w:rsidRPr="00B95480">
        <w:t xml:space="preserve"> posen i køleskab eller ved stuetemperatur, hvis man vil have fart på processen.</w:t>
      </w:r>
      <w:r w:rsidR="00B95480" w:rsidRPr="00B95480">
        <w:t xml:space="preserve"> Smag på grøntsagerne efter et par time</w:t>
      </w:r>
      <w:r w:rsidR="00CD7D6D">
        <w:t>r</w:t>
      </w:r>
      <w:r w:rsidR="00B95480" w:rsidRPr="00B95480">
        <w:t xml:space="preserve"> og derefter en gang om dagen i de kommende dage. Beskriv udviklingen i smag og tekstur og sammenlig</w:t>
      </w:r>
      <w:r w:rsidR="00CD7D6D">
        <w:t>n</w:t>
      </w:r>
      <w:r w:rsidR="00B95480" w:rsidRPr="00B95480">
        <w:t xml:space="preserve"> med de friske grøntsager.</w:t>
      </w:r>
    </w:p>
    <w:p w:rsidR="006B0F4F" w:rsidRPr="00B95480" w:rsidRDefault="006B0F4F" w:rsidP="006B0F4F">
      <w:pPr>
        <w:pStyle w:val="ListParagraph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A31AF" wp14:editId="23A0FDF0">
                <wp:simplePos x="0" y="0"/>
                <wp:positionH relativeFrom="column">
                  <wp:posOffset>861695</wp:posOffset>
                </wp:positionH>
                <wp:positionV relativeFrom="paragraph">
                  <wp:posOffset>2229485</wp:posOffset>
                </wp:positionV>
                <wp:extent cx="4189095" cy="635"/>
                <wp:effectExtent l="0" t="0" r="0" b="0"/>
                <wp:wrapTopAndBottom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0F4F" w:rsidRPr="00400E4D" w:rsidRDefault="006B0F4F" w:rsidP="006B0F4F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Pr="004E51BB">
                              <w:t xml:space="preserve">Fintskårne grøntsager (her spidsskål, broccoli, grønne asparges og radiser) tilberedt ved hjælp af enzymerne i </w:t>
                            </w:r>
                            <w:proofErr w:type="spellStart"/>
                            <w:r w:rsidRPr="004E51BB">
                              <w:t>koji</w:t>
                            </w:r>
                            <w:proofErr w:type="spellEnd"/>
                            <w:r w:rsidRPr="004E51BB">
                              <w:t xml:space="preserve">, der er fremstillet af den mikroskopiske svamp </w:t>
                            </w:r>
                            <w:proofErr w:type="spellStart"/>
                            <w:r w:rsidRPr="004E51BB">
                              <w:t>Aspergillus</w:t>
                            </w:r>
                            <w:proofErr w:type="spellEnd"/>
                            <w:r w:rsidRPr="004E51BB">
                              <w:t xml:space="preserve"> </w:t>
                            </w:r>
                            <w:proofErr w:type="spellStart"/>
                            <w:r w:rsidRPr="004E51BB">
                              <w:t>oryzae</w:t>
                            </w:r>
                            <w:proofErr w:type="spellEnd"/>
                            <w:r w:rsidRPr="004E51BB">
                              <w:t>.</w:t>
                            </w:r>
                            <w:r w:rsidRPr="006B0F4F">
                              <w:t xml:space="preserve"> </w:t>
                            </w:r>
                            <w:proofErr w:type="spellStart"/>
                            <w:r w:rsidRPr="00966640">
                              <w:t>Shio-koji</w:t>
                            </w:r>
                            <w:proofErr w:type="spellEnd"/>
                            <w:r w:rsidRPr="00966640">
                              <w:t xml:space="preserve"> fordeles på grøntsag</w:t>
                            </w:r>
                            <w:r w:rsidRPr="006B0F4F">
                              <w:t>ernes overflade ved at ryste det hele i en oppustet, tillukket plastikpose.</w:t>
                            </w:r>
                            <w:r w:rsidR="00973874" w:rsidRPr="00973874">
                              <w:t xml:space="preserve"> </w:t>
                            </w:r>
                            <w:r w:rsidR="00973874">
                              <w:t>Det interessante ved denne behandling er, at d</w:t>
                            </w:r>
                            <w:r w:rsidR="00973874" w:rsidRPr="00973874">
                              <w:t>a det hele foregår uden opvarmning, er grøntsagernes vitaminindhold bevaret, og enzymernes nedbrydning af kulhydrater og proteiner gør dem nemmere at fordøje</w:t>
                            </w:r>
                            <w:r w:rsidRPr="006B0F4F">
                              <w:t xml:space="preserve"> (Foto: Jonas Drotner Mouritsen)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A31A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67.85pt;margin-top:175.55pt;width:329.8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" stroked="f">
                <v:textbox style="mso-fit-shape-to-text:t" inset="0,0,0,0">
                  <w:txbxContent>
                    <w:p w:rsidR="006B0F4F" w:rsidRPr="00400E4D" w:rsidRDefault="006B0F4F" w:rsidP="006B0F4F">
                      <w:pPr>
                        <w:pStyle w:val="Billedtekst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Pr="004E51BB">
                        <w:t xml:space="preserve">Fintskårne grøntsager (her spidsskål, broccoli, grønne asparges og radiser) tilberedt ved hjælp af enzymerne i </w:t>
                      </w:r>
                      <w:proofErr w:type="spellStart"/>
                      <w:r w:rsidRPr="004E51BB">
                        <w:t>koji</w:t>
                      </w:r>
                      <w:proofErr w:type="spellEnd"/>
                      <w:r w:rsidRPr="004E51BB">
                        <w:t xml:space="preserve">, der er fremstillet af den mikroskopiske svamp </w:t>
                      </w:r>
                      <w:proofErr w:type="spellStart"/>
                      <w:r w:rsidRPr="004E51BB">
                        <w:t>Aspergillus</w:t>
                      </w:r>
                      <w:proofErr w:type="spellEnd"/>
                      <w:r w:rsidRPr="004E51BB">
                        <w:t xml:space="preserve"> </w:t>
                      </w:r>
                      <w:proofErr w:type="spellStart"/>
                      <w:r w:rsidRPr="004E51BB">
                        <w:t>oryzae</w:t>
                      </w:r>
                      <w:proofErr w:type="spellEnd"/>
                      <w:r w:rsidRPr="004E51BB">
                        <w:t>.</w:t>
                      </w:r>
                      <w:r w:rsidRPr="006B0F4F">
                        <w:t xml:space="preserve"> </w:t>
                      </w:r>
                      <w:proofErr w:type="spellStart"/>
                      <w:r w:rsidRPr="00966640">
                        <w:t>Shio-koji</w:t>
                      </w:r>
                      <w:proofErr w:type="spellEnd"/>
                      <w:r w:rsidRPr="00966640">
                        <w:t xml:space="preserve"> fordeles på grøntsag</w:t>
                      </w:r>
                      <w:r w:rsidRPr="006B0F4F">
                        <w:t>ernes overflade ved at ryste det hele i en oppustet, tillukket plastikpose.</w:t>
                      </w:r>
                      <w:r w:rsidR="00973874" w:rsidRPr="00973874">
                        <w:t xml:space="preserve"> </w:t>
                      </w:r>
                      <w:r w:rsidR="00973874">
                        <w:t>Det interessante ved denne behandling er, at d</w:t>
                      </w:r>
                      <w:r w:rsidR="00973874" w:rsidRPr="00973874">
                        <w:t>a det hele foregår uden opvarmning, er grøntsagernes vitaminindhold bevaret, og enzymernes nedbrydning af kulhydrater og proteiner gør dem nemmere at fordøje</w:t>
                      </w:r>
                      <w:r w:rsidRPr="006B0F4F">
                        <w:t xml:space="preserve"> (Foto: Jonas Drotner Mouritsen)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151D1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862281</wp:posOffset>
            </wp:positionH>
            <wp:positionV relativeFrom="paragraph">
              <wp:posOffset>348908</wp:posOffset>
            </wp:positionV>
            <wp:extent cx="4189228" cy="1824081"/>
            <wp:effectExtent l="0" t="0" r="1905" b="508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228" cy="1824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874" w:rsidRDefault="00973874" w:rsidP="00C96CC6"/>
    <w:p w:rsidR="00973874" w:rsidRDefault="00973874" w:rsidP="00C96CC6"/>
    <w:p w:rsidR="00973874" w:rsidRDefault="00973874">
      <w:r>
        <w:br w:type="page"/>
      </w:r>
    </w:p>
    <w:p w:rsidR="00C96CC6" w:rsidRPr="00C96CC6" w:rsidRDefault="00C96CC6" w:rsidP="00C96CC6">
      <w:pPr>
        <w:rPr>
          <w:sz w:val="32"/>
          <w:szCs w:val="32"/>
        </w:rPr>
      </w:pPr>
      <w:r>
        <w:rPr>
          <w:sz w:val="32"/>
          <w:szCs w:val="32"/>
        </w:rPr>
        <w:lastRenderedPageBreak/>
        <w:t>Supplerende materiale</w:t>
      </w:r>
    </w:p>
    <w:p w:rsidR="00C96CC6" w:rsidRDefault="00C96CC6" w:rsidP="00B95480">
      <w:pPr>
        <w:pStyle w:val="ListParagraph"/>
        <w:rPr>
          <w:sz w:val="32"/>
          <w:szCs w:val="32"/>
        </w:rPr>
      </w:pPr>
    </w:p>
    <w:p w:rsidR="00C96CC6" w:rsidRPr="00C857D0" w:rsidRDefault="00C96CC6" w:rsidP="00C96CC6">
      <w:pPr>
        <w:rPr>
          <w:b/>
        </w:rPr>
      </w:pPr>
      <w:proofErr w:type="spellStart"/>
      <w:r w:rsidRPr="00C857D0">
        <w:rPr>
          <w:b/>
        </w:rPr>
        <w:t>Umami</w:t>
      </w:r>
      <w:proofErr w:type="spellEnd"/>
      <w:r w:rsidRPr="00C857D0">
        <w:rPr>
          <w:b/>
        </w:rPr>
        <w:t xml:space="preserve"> og </w:t>
      </w:r>
      <w:proofErr w:type="spellStart"/>
      <w:r w:rsidRPr="00C857D0">
        <w:rPr>
          <w:b/>
          <w:i/>
          <w:iCs/>
        </w:rPr>
        <w:t>kokumi</w:t>
      </w:r>
      <w:proofErr w:type="spellEnd"/>
    </w:p>
    <w:p w:rsidR="00C96CC6" w:rsidRDefault="00C96CC6" w:rsidP="00C96CC6"/>
    <w:p w:rsidR="00C96CC6" w:rsidRPr="00A5044A" w:rsidRDefault="00C96CC6" w:rsidP="00C96CC6">
      <w:proofErr w:type="spellStart"/>
      <w:r w:rsidRPr="00A5044A">
        <w:t>Umami</w:t>
      </w:r>
      <w:proofErr w:type="spellEnd"/>
      <w:r w:rsidRPr="00A5044A">
        <w:t xml:space="preserve"> og </w:t>
      </w:r>
      <w:proofErr w:type="spellStart"/>
      <w:r w:rsidRPr="00A5044A">
        <w:t>umami</w:t>
      </w:r>
      <w:proofErr w:type="spellEnd"/>
      <w:r w:rsidRPr="00A5044A">
        <w:t>-synergi</w:t>
      </w:r>
    </w:p>
    <w:p w:rsidR="00C96CC6" w:rsidRDefault="00C96CC6" w:rsidP="00C96CC6">
      <w:proofErr w:type="spellStart"/>
      <w:r w:rsidRPr="00925353">
        <w:t>Umami</w:t>
      </w:r>
      <w:proofErr w:type="spellEnd"/>
      <w:r w:rsidRPr="00925353">
        <w:t xml:space="preserve"> er en grundsmag, hvilket betyder, at denne smag ikke kan fremkomme ved kombination af de fire klassiske grundsmage: sur, sød, salt og bitter. Det betyder dog ikke, at </w:t>
      </w:r>
      <w:proofErr w:type="spellStart"/>
      <w:r w:rsidRPr="00925353">
        <w:t>umami</w:t>
      </w:r>
      <w:proofErr w:type="spellEnd"/>
      <w:r w:rsidRPr="00925353">
        <w:t xml:space="preserve"> ikke påvirker disse andre grundsmage. Tværtimod viser det sig, at </w:t>
      </w:r>
      <w:proofErr w:type="spellStart"/>
      <w:r w:rsidRPr="00925353">
        <w:t>umami</w:t>
      </w:r>
      <w:proofErr w:type="spellEnd"/>
      <w:r w:rsidRPr="00925353">
        <w:t xml:space="preserve"> kan forstærke salt og sødt og desuden undertrykke bitre smage. </w:t>
      </w:r>
      <w:proofErr w:type="spellStart"/>
      <w:r w:rsidRPr="00925353">
        <w:t>Umami</w:t>
      </w:r>
      <w:proofErr w:type="spellEnd"/>
      <w:r w:rsidRPr="00925353">
        <w:t xml:space="preserve"> er mest kraftig, når maden indeholder to forskellige slags stoffer. Såkaldt basal </w:t>
      </w:r>
      <w:proofErr w:type="spellStart"/>
      <w:r w:rsidRPr="00925353">
        <w:t>umami</w:t>
      </w:r>
      <w:proofErr w:type="spellEnd"/>
      <w:r w:rsidRPr="00925353">
        <w:t xml:space="preserve"> fremkaldes af fri </w:t>
      </w:r>
      <w:proofErr w:type="spellStart"/>
      <w:r w:rsidRPr="00925353">
        <w:t>glutamat</w:t>
      </w:r>
      <w:proofErr w:type="spellEnd"/>
      <w:r w:rsidRPr="00925353">
        <w:t xml:space="preserve"> (natriumsaltet af </w:t>
      </w:r>
      <w:proofErr w:type="spellStart"/>
      <w:r w:rsidRPr="00925353">
        <w:t>glutaminsyre</w:t>
      </w:r>
      <w:proofErr w:type="spellEnd"/>
      <w:r w:rsidRPr="00925353">
        <w:t xml:space="preserve">), og på en vis måde kan man sige, at </w:t>
      </w:r>
      <w:proofErr w:type="spellStart"/>
      <w:r w:rsidRPr="00925353">
        <w:t>glutamat</w:t>
      </w:r>
      <w:proofErr w:type="spellEnd"/>
      <w:r w:rsidRPr="00925353">
        <w:t xml:space="preserve"> er for </w:t>
      </w:r>
      <w:proofErr w:type="spellStart"/>
      <w:r w:rsidRPr="00925353">
        <w:t>umami</w:t>
      </w:r>
      <w:proofErr w:type="spellEnd"/>
      <w:r w:rsidRPr="00925353">
        <w:t>, hvad køkkensalt (</w:t>
      </w:r>
      <w:proofErr w:type="spellStart"/>
      <w:r w:rsidRPr="00925353">
        <w:t>natriumchlorid</w:t>
      </w:r>
      <w:proofErr w:type="spellEnd"/>
      <w:r w:rsidRPr="00925353">
        <w:t xml:space="preserve">) er for den salte smag. </w:t>
      </w:r>
      <w:proofErr w:type="spellStart"/>
      <w:r w:rsidRPr="00925353">
        <w:t>Umami</w:t>
      </w:r>
      <w:proofErr w:type="spellEnd"/>
      <w:r w:rsidRPr="00925353">
        <w:t xml:space="preserve">-smagen kan forstærkes, hvis der samtidig med </w:t>
      </w:r>
      <w:proofErr w:type="spellStart"/>
      <w:r w:rsidRPr="00925353">
        <w:t>glutamat</w:t>
      </w:r>
      <w:proofErr w:type="spellEnd"/>
      <w:r w:rsidRPr="00925353">
        <w:t xml:space="preserve"> er såkaldt frie </w:t>
      </w:r>
      <w:proofErr w:type="spellStart"/>
      <w:r w:rsidRPr="00925353">
        <w:t>nukleotider</w:t>
      </w:r>
      <w:proofErr w:type="spellEnd"/>
      <w:r w:rsidRPr="00925353">
        <w:t xml:space="preserve"> tilstede i maden, især </w:t>
      </w:r>
      <w:proofErr w:type="spellStart"/>
      <w:r w:rsidRPr="00925353">
        <w:t>inosinat</w:t>
      </w:r>
      <w:proofErr w:type="spellEnd"/>
      <w:r w:rsidRPr="00925353">
        <w:t xml:space="preserve">, </w:t>
      </w:r>
      <w:proofErr w:type="spellStart"/>
      <w:r w:rsidRPr="00925353">
        <w:t>guanylat</w:t>
      </w:r>
      <w:proofErr w:type="spellEnd"/>
      <w:r w:rsidRPr="00925353">
        <w:t xml:space="preserve"> og </w:t>
      </w:r>
      <w:proofErr w:type="spellStart"/>
      <w:r w:rsidRPr="00925353">
        <w:t>adenylat</w:t>
      </w:r>
      <w:proofErr w:type="spellEnd"/>
      <w:r w:rsidRPr="00925353">
        <w:t xml:space="preserve">. </w:t>
      </w:r>
      <w:proofErr w:type="spellStart"/>
      <w:r w:rsidRPr="00925353">
        <w:t>Glutamat</w:t>
      </w:r>
      <w:proofErr w:type="spellEnd"/>
      <w:r w:rsidRPr="00925353">
        <w:t xml:space="preserve"> og dermed basal </w:t>
      </w:r>
      <w:proofErr w:type="spellStart"/>
      <w:r w:rsidRPr="00925353">
        <w:t>umami</w:t>
      </w:r>
      <w:proofErr w:type="spellEnd"/>
      <w:r w:rsidRPr="00925353">
        <w:t xml:space="preserve"> finder vi især i tang, fiskesauce, modne oste, solmodne tomater, lufttørret skinke, kartofler og grønne ærter. </w:t>
      </w:r>
      <w:proofErr w:type="spellStart"/>
      <w:r w:rsidRPr="00925353">
        <w:t>Synergistisk</w:t>
      </w:r>
      <w:proofErr w:type="spellEnd"/>
      <w:r w:rsidRPr="00925353">
        <w:t xml:space="preserve"> </w:t>
      </w:r>
      <w:proofErr w:type="spellStart"/>
      <w:r w:rsidRPr="00925353">
        <w:t>umami</w:t>
      </w:r>
      <w:proofErr w:type="spellEnd"/>
      <w:r w:rsidRPr="00925353">
        <w:t xml:space="preserve"> i form af </w:t>
      </w:r>
      <w:proofErr w:type="spellStart"/>
      <w:r w:rsidRPr="00925353">
        <w:t>inosinat</w:t>
      </w:r>
      <w:proofErr w:type="spellEnd"/>
      <w:r w:rsidRPr="00925353">
        <w:t xml:space="preserve"> er stærk i fisk, skaldyr og kød; i form af </w:t>
      </w:r>
      <w:proofErr w:type="spellStart"/>
      <w:r w:rsidRPr="00925353">
        <w:t>guanylat</w:t>
      </w:r>
      <w:proofErr w:type="spellEnd"/>
      <w:r w:rsidRPr="00925353">
        <w:t xml:space="preserve"> i tørrede svampe; og i form af </w:t>
      </w:r>
      <w:proofErr w:type="spellStart"/>
      <w:r w:rsidRPr="00925353">
        <w:t>adenylat</w:t>
      </w:r>
      <w:proofErr w:type="spellEnd"/>
      <w:r w:rsidRPr="00925353">
        <w:t xml:space="preserve"> i kammusling og tomat. En lille mængde af et </w:t>
      </w:r>
      <w:proofErr w:type="spellStart"/>
      <w:r w:rsidRPr="00925353">
        <w:t>synergistisk</w:t>
      </w:r>
      <w:proofErr w:type="spellEnd"/>
      <w:r w:rsidRPr="00925353">
        <w:t xml:space="preserve"> </w:t>
      </w:r>
      <w:proofErr w:type="spellStart"/>
      <w:r w:rsidRPr="00925353">
        <w:t>umami</w:t>
      </w:r>
      <w:proofErr w:type="spellEnd"/>
      <w:r w:rsidRPr="00925353">
        <w:t xml:space="preserve">-stof kan i vidunderlig grad forstærke smagen af den basale </w:t>
      </w:r>
      <w:proofErr w:type="spellStart"/>
      <w:r w:rsidRPr="00925353">
        <w:t>umami</w:t>
      </w:r>
      <w:proofErr w:type="spellEnd"/>
      <w:r w:rsidRPr="00925353">
        <w:t>. Vi kender det, når vi smager saucen til med blåskimmelost eller tomatpasta, kombinerer kød og grøntsager i en suppefond eller tilsætter modne tomater, ansjoser og parmesanost til vores grønne salater.</w:t>
      </w:r>
    </w:p>
    <w:p w:rsidR="00C96CC6" w:rsidRDefault="00C96CC6" w:rsidP="00C96CC6">
      <w:r w:rsidRPr="00340D0D">
        <w:rPr>
          <w:noProof/>
          <w:lang w:eastAsia="da-DK"/>
        </w:rPr>
        <w:drawing>
          <wp:inline distT="0" distB="0" distL="0" distR="0" wp14:anchorId="1206B2EF" wp14:editId="260B2B88">
            <wp:extent cx="2138162" cy="141891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7634" cy="14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C6" w:rsidRDefault="00A63EE4" w:rsidP="00C96CC6">
      <w:r>
        <w:t>Figuren viser en s</w:t>
      </w:r>
      <w:r w:rsidR="00C96CC6">
        <w:t xml:space="preserve">kematisk illustration af </w:t>
      </w:r>
      <w:proofErr w:type="spellStart"/>
      <w:r w:rsidR="00C96CC6">
        <w:t>umami</w:t>
      </w:r>
      <w:proofErr w:type="spellEnd"/>
      <w:r w:rsidR="00C96CC6">
        <w:t xml:space="preserve">-receptoren T1R1/T1R3 indlejret i cellemembranen på en sansecelle, der sidder i tungens smagsløg. T1R1-delen binder </w:t>
      </w:r>
      <w:proofErr w:type="spellStart"/>
      <w:r w:rsidR="00C96CC6">
        <w:t>glutamat</w:t>
      </w:r>
      <w:proofErr w:type="spellEnd"/>
      <w:r w:rsidR="00C96CC6">
        <w:t xml:space="preserve"> (den grønne kugle) og et </w:t>
      </w:r>
      <w:proofErr w:type="spellStart"/>
      <w:r w:rsidR="00C96CC6">
        <w:t>nukleotid</w:t>
      </w:r>
      <w:proofErr w:type="spellEnd"/>
      <w:r w:rsidR="00C96CC6">
        <w:t xml:space="preserve"> (den blå trekant), hvorved der signaleres gennem receptoren, at der på den anden side af membranen skal bindes et G-protein. Herefter går et signal til hjernen om, at maden smager </w:t>
      </w:r>
      <w:proofErr w:type="spellStart"/>
      <w:r w:rsidR="00C96CC6">
        <w:t>umami</w:t>
      </w:r>
      <w:proofErr w:type="spellEnd"/>
      <w:r w:rsidR="00C96CC6">
        <w:t>.</w:t>
      </w:r>
    </w:p>
    <w:p w:rsidR="00C96CC6" w:rsidRDefault="00C96CC6" w:rsidP="00C96CC6"/>
    <w:p w:rsidR="00C96CC6" w:rsidRPr="008763BD" w:rsidRDefault="00C96CC6" w:rsidP="00C96CC6">
      <w:r>
        <w:t>Se også</w:t>
      </w:r>
      <w:r w:rsidR="00A63EE4">
        <w:t xml:space="preserve"> artiklen</w:t>
      </w:r>
      <w:r>
        <w:t xml:space="preserve">: </w:t>
      </w:r>
      <w:hyperlink r:id="rId9" w:history="1">
        <w:r w:rsidRPr="000D37DE">
          <w:rPr>
            <w:rStyle w:val="Hyperlink"/>
          </w:rPr>
          <w:t>Velsmag - sådan virker det</w:t>
        </w:r>
      </w:hyperlink>
      <w:r w:rsidRPr="00357996">
        <w:t xml:space="preserve"> (H. </w:t>
      </w:r>
      <w:proofErr w:type="spellStart"/>
      <w:r w:rsidRPr="00357996">
        <w:t>Khandelia</w:t>
      </w:r>
      <w:proofErr w:type="spellEnd"/>
      <w:r w:rsidRPr="00357996">
        <w:t xml:space="preserve"> and O. G. Mouritsen) </w:t>
      </w:r>
      <w:r w:rsidRPr="00357996">
        <w:rPr>
          <w:i/>
          <w:iCs/>
        </w:rPr>
        <w:t>Aktuel Naturvidenskab</w:t>
      </w:r>
      <w:r w:rsidRPr="00357996">
        <w:t xml:space="preserve"> 4, 6-9 (2012).</w:t>
      </w:r>
    </w:p>
    <w:p w:rsidR="00C96CC6" w:rsidRDefault="00C96CC6" w:rsidP="00C96CC6"/>
    <w:p w:rsidR="00C96CC6" w:rsidRPr="00925353" w:rsidRDefault="00C96CC6" w:rsidP="00C96CC6">
      <w:pPr>
        <w:rPr>
          <w:i/>
          <w:iCs/>
        </w:rPr>
      </w:pPr>
      <w:proofErr w:type="spellStart"/>
      <w:r w:rsidRPr="00925353">
        <w:rPr>
          <w:i/>
          <w:iCs/>
        </w:rPr>
        <w:t>Kokumi</w:t>
      </w:r>
      <w:proofErr w:type="spellEnd"/>
    </w:p>
    <w:p w:rsidR="00C96CC6" w:rsidRPr="00925353" w:rsidRDefault="00C96CC6" w:rsidP="00C96CC6">
      <w:r w:rsidRPr="00925353">
        <w:t xml:space="preserve">I forbindelse med et studium af smagskomponenter i ekstrakter af hvidløg fandt den japanske forsker </w:t>
      </w:r>
      <w:proofErr w:type="spellStart"/>
      <w:r w:rsidRPr="00925353">
        <w:t>Yoichi</w:t>
      </w:r>
      <w:proofErr w:type="spellEnd"/>
      <w:r w:rsidRPr="00925353">
        <w:t xml:space="preserve"> </w:t>
      </w:r>
      <w:proofErr w:type="spellStart"/>
      <w:r w:rsidRPr="00925353">
        <w:t>Ueda</w:t>
      </w:r>
      <w:proofErr w:type="spellEnd"/>
      <w:r w:rsidRPr="00925353">
        <w:t xml:space="preserve"> i 1989 sammen med sine kolleger, at dette ekstrakt kun havde lidt </w:t>
      </w:r>
      <w:proofErr w:type="spellStart"/>
      <w:r w:rsidRPr="00925353">
        <w:t>egensmag</w:t>
      </w:r>
      <w:proofErr w:type="spellEnd"/>
      <w:r w:rsidRPr="00925353">
        <w:t xml:space="preserve">, men var helt fantastisk til i selv små mængder at fremhæve andre smage og dermed bidrage til den samlede smagsprofil af en fødevare. Denne særlige egenskab kalder japanerne en smagsattribut, i dette tilfælde en </w:t>
      </w:r>
      <w:proofErr w:type="spellStart"/>
      <w:r w:rsidRPr="00925353">
        <w:rPr>
          <w:i/>
          <w:iCs/>
        </w:rPr>
        <w:t>koku</w:t>
      </w:r>
      <w:proofErr w:type="spellEnd"/>
      <w:r w:rsidRPr="00925353">
        <w:t xml:space="preserve">-attribut, som betyder en særlig mundfylde og kontinuitet i smagsoplevelsen. </w:t>
      </w:r>
      <w:proofErr w:type="spellStart"/>
      <w:r w:rsidRPr="00925353">
        <w:rPr>
          <w:i/>
          <w:iCs/>
        </w:rPr>
        <w:t>Koku</w:t>
      </w:r>
      <w:proofErr w:type="spellEnd"/>
      <w:r w:rsidRPr="00925353">
        <w:t xml:space="preserve"> giver velsmag og en harmoni i smagsindtrykket. Ingen af de klassiske grundsmage kan give samme effekt. Eftersom forskerne fandt, at hvidløgsekstraktet også tilføjede </w:t>
      </w:r>
      <w:proofErr w:type="spellStart"/>
      <w:r w:rsidRPr="00925353">
        <w:rPr>
          <w:i/>
          <w:iCs/>
        </w:rPr>
        <w:lastRenderedPageBreak/>
        <w:t>koku</w:t>
      </w:r>
      <w:proofErr w:type="spellEnd"/>
      <w:r w:rsidRPr="00925353">
        <w:t xml:space="preserve"> til en </w:t>
      </w:r>
      <w:proofErr w:type="spellStart"/>
      <w:r w:rsidRPr="00925353">
        <w:t>umami</w:t>
      </w:r>
      <w:proofErr w:type="spellEnd"/>
      <w:r w:rsidRPr="00925353">
        <w:t xml:space="preserve">-opløsning, foreslog </w:t>
      </w:r>
      <w:proofErr w:type="spellStart"/>
      <w:r w:rsidRPr="00925353">
        <w:t>Ueda</w:t>
      </w:r>
      <w:proofErr w:type="spellEnd"/>
      <w:r w:rsidRPr="00925353">
        <w:t xml:space="preserve"> at knytte udtrykket </w:t>
      </w:r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 til dette særlige smagsfænomen. </w:t>
      </w:r>
    </w:p>
    <w:p w:rsidR="00C96CC6" w:rsidRPr="00925353" w:rsidRDefault="00C96CC6" w:rsidP="00C96CC6"/>
    <w:p w:rsidR="00C96CC6" w:rsidRPr="00925353" w:rsidRDefault="00C96CC6" w:rsidP="00C96CC6"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 er nok vanskelig for en ikke-japaner at beskrive og forstå, og der er muligvis et vist overlap mellem smagsoplevelsen af </w:t>
      </w:r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 og </w:t>
      </w:r>
      <w:proofErr w:type="spellStart"/>
      <w:r w:rsidRPr="00925353">
        <w:t>umami</w:t>
      </w:r>
      <w:proofErr w:type="spellEnd"/>
      <w:r w:rsidRPr="00925353">
        <w:t xml:space="preserve">. Udtrykket omfatter en følelse af fortætning – et rigt og komplekst samspil af alle smagsindtryk, og kontinuitet, dvs. en langvarig smagseffekt, der vokser i begyndelsen og kun langsomt klinger af, og en mundfølelse – en fornemmelse – der fylder hele munden. </w:t>
      </w:r>
    </w:p>
    <w:p w:rsidR="00C96CC6" w:rsidRPr="00925353" w:rsidRDefault="00C96CC6" w:rsidP="00C96CC6"/>
    <w:p w:rsidR="00C96CC6" w:rsidRPr="00925353" w:rsidRDefault="00C96CC6" w:rsidP="00C96CC6"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 er ikke en selvstændig smag, men forbindes med smagsforstærkning og velsmag og har derfor et vist overlap med </w:t>
      </w:r>
      <w:proofErr w:type="spellStart"/>
      <w:r w:rsidRPr="00925353">
        <w:t>umami</w:t>
      </w:r>
      <w:proofErr w:type="spellEnd"/>
      <w:r w:rsidRPr="00925353">
        <w:t xml:space="preserve">. Vi ved nu, at det er nogle små stumper af proteiner, di-peptider og </w:t>
      </w:r>
      <w:proofErr w:type="spellStart"/>
      <w:r w:rsidRPr="00925353">
        <w:t>tri</w:t>
      </w:r>
      <w:proofErr w:type="spellEnd"/>
      <w:r w:rsidRPr="00925353">
        <w:t xml:space="preserve">-peptider, som fremkalder </w:t>
      </w:r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 i en række fødevarer. Visse virksomme di-peptider findes i </w:t>
      </w:r>
      <w:proofErr w:type="spellStart"/>
      <w:r w:rsidRPr="00925353">
        <w:t>Gauda</w:t>
      </w:r>
      <w:proofErr w:type="spellEnd"/>
      <w:r w:rsidRPr="00925353">
        <w:t xml:space="preserve">- og parmesanost, sojabønner og gærekstrakt. Det er for nylig blevet påvist, at </w:t>
      </w:r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 fremkaldes ved, at nogle calcium-kanaler i tungens epitel stimuleres af små </w:t>
      </w:r>
      <w:proofErr w:type="spellStart"/>
      <w:r w:rsidRPr="00925353">
        <w:t>tri</w:t>
      </w:r>
      <w:proofErr w:type="spellEnd"/>
      <w:r w:rsidRPr="00925353">
        <w:t>-peptider, for eksempel γ-</w:t>
      </w:r>
      <w:proofErr w:type="spellStart"/>
      <w:r w:rsidRPr="00925353">
        <w:t>Glu</w:t>
      </w:r>
      <w:proofErr w:type="spellEnd"/>
      <w:r w:rsidRPr="00925353">
        <w:t>-</w:t>
      </w:r>
      <w:proofErr w:type="spellStart"/>
      <w:r w:rsidRPr="00925353">
        <w:t>Cys-Gly</w:t>
      </w:r>
      <w:proofErr w:type="spellEnd"/>
      <w:r w:rsidRPr="00925353">
        <w:t xml:space="preserve"> (</w:t>
      </w:r>
      <w:proofErr w:type="spellStart"/>
      <w:r w:rsidRPr="00925353">
        <w:t>glutathion</w:t>
      </w:r>
      <w:proofErr w:type="spellEnd"/>
      <w:r w:rsidRPr="00925353">
        <w:t>, GSH) og γ-</w:t>
      </w:r>
      <w:proofErr w:type="spellStart"/>
      <w:r w:rsidRPr="00925353">
        <w:t>Glu</w:t>
      </w:r>
      <w:proofErr w:type="spellEnd"/>
      <w:r w:rsidRPr="00925353">
        <w:t>-Val-</w:t>
      </w:r>
      <w:proofErr w:type="spellStart"/>
      <w:r w:rsidRPr="00925353">
        <w:t>Gly</w:t>
      </w:r>
      <w:proofErr w:type="spellEnd"/>
      <w:r w:rsidRPr="00925353">
        <w:t xml:space="preserve">, som findes i for eksempel kammuslinger, fiskesauce, hvidløg, løg, gærekstrakt, fiskesauce, sojasauce, kød, rejepasta, visse svampe samt øl og vin, men dog i meget forskellig koncentration. Generelt finder man, at der kun er små mængder </w:t>
      </w:r>
      <w:proofErr w:type="spellStart"/>
      <w:r w:rsidRPr="00925353">
        <w:t>glutathion</w:t>
      </w:r>
      <w:proofErr w:type="spellEnd"/>
      <w:r w:rsidRPr="00925353">
        <w:t xml:space="preserve"> i mejeriprodukter, cerealier og brød, moderate mængder i frugt og grønt og noget større mængder af </w:t>
      </w:r>
      <w:proofErr w:type="spellStart"/>
      <w:r w:rsidRPr="00925353">
        <w:t>gluthation</w:t>
      </w:r>
      <w:proofErr w:type="spellEnd"/>
      <w:r w:rsidRPr="00925353">
        <w:t xml:space="preserve"> i fersk kød. </w:t>
      </w:r>
    </w:p>
    <w:p w:rsidR="00C96CC6" w:rsidRPr="00925353" w:rsidRDefault="00C96CC6" w:rsidP="00C96CC6"/>
    <w:p w:rsidR="00C96CC6" w:rsidRPr="00925353" w:rsidRDefault="00C96CC6" w:rsidP="00C96CC6">
      <w:r w:rsidRPr="00925353">
        <w:t xml:space="preserve">Tri-peptider, der fremkalder </w:t>
      </w:r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, har ingen smag i sig selv, men kan undertrykke bitterhed og forstærke smagen af salt, sødt og </w:t>
      </w:r>
      <w:proofErr w:type="spellStart"/>
      <w:r w:rsidRPr="00925353">
        <w:t>umami</w:t>
      </w:r>
      <w:proofErr w:type="spellEnd"/>
      <w:r w:rsidRPr="00925353">
        <w:t xml:space="preserve">, hvorimod effekten på surt endnu er uklar. Selv ganske små mængder af </w:t>
      </w:r>
      <w:proofErr w:type="spellStart"/>
      <w:r w:rsidRPr="00925353">
        <w:t>glutathion</w:t>
      </w:r>
      <w:proofErr w:type="spellEnd"/>
      <w:r w:rsidRPr="00925353">
        <w:t xml:space="preserve"> (2-20 dele af en million) kan meget effektivt fremkalde </w:t>
      </w:r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. Disse </w:t>
      </w:r>
      <w:proofErr w:type="spellStart"/>
      <w:r w:rsidRPr="00925353">
        <w:rPr>
          <w:i/>
          <w:iCs/>
        </w:rPr>
        <w:t>kokumi</w:t>
      </w:r>
      <w:proofErr w:type="spellEnd"/>
      <w:r w:rsidRPr="00925353">
        <w:t xml:space="preserve">-stoffers effekt er især blevet undersøgt for søde retter og suppefonder af kød og grøntsager med henblik på at give velsmag med mindre fedtstof. </w:t>
      </w:r>
    </w:p>
    <w:p w:rsidR="00C96CC6" w:rsidRPr="00925353" w:rsidRDefault="00C96CC6" w:rsidP="00C96CC6"/>
    <w:p w:rsidR="00C96CC6" w:rsidRPr="00973874" w:rsidRDefault="00C96CC6" w:rsidP="00C96CC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DF40C" wp14:editId="15D83C7D">
                <wp:simplePos x="0" y="0"/>
                <wp:positionH relativeFrom="column">
                  <wp:posOffset>0</wp:posOffset>
                </wp:positionH>
                <wp:positionV relativeFrom="paragraph">
                  <wp:posOffset>2454910</wp:posOffset>
                </wp:positionV>
                <wp:extent cx="2299335" cy="635"/>
                <wp:effectExtent l="0" t="0" r="0" b="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6CC6" w:rsidRPr="00421152" w:rsidRDefault="00C96CC6" w:rsidP="00C96CC6">
                            <w:pPr>
                              <w:pStyle w:val="Caption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11AC">
                              <w:t xml:space="preserve">Sort (fermenteret hvidløg), som giver både </w:t>
                            </w:r>
                            <w:proofErr w:type="spellStart"/>
                            <w:r w:rsidRPr="009A11AC">
                              <w:t>umami</w:t>
                            </w:r>
                            <w:proofErr w:type="spellEnd"/>
                            <w:r w:rsidRPr="009A11AC">
                              <w:t xml:space="preserve"> og </w:t>
                            </w:r>
                            <w:proofErr w:type="spellStart"/>
                            <w:r w:rsidRPr="009A11AC">
                              <w:t>kokumi</w:t>
                            </w:r>
                            <w:proofErr w:type="spellEnd"/>
                            <w:r w:rsidRPr="009A11A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F40C" id="Tekstfelt 1" o:spid="_x0000_s1027" type="#_x0000_t202" style="position:absolute;margin-left:0;margin-top:193.3pt;width:181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" stroked="f">
                <v:textbox style="mso-fit-shape-to-text:t" inset="0,0,0,0">
                  <w:txbxContent>
                    <w:p w:rsidR="00C96CC6" w:rsidRPr="00421152" w:rsidRDefault="00C96CC6" w:rsidP="00C96CC6">
                      <w:pPr>
                        <w:pStyle w:val="Billedtekst"/>
                        <w:rPr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9A11AC">
                        <w:t xml:space="preserve">Sort (fermenteret hvidløg), som giver både </w:t>
                      </w:r>
                      <w:proofErr w:type="spellStart"/>
                      <w:r w:rsidRPr="009A11AC">
                        <w:t>umami</w:t>
                      </w:r>
                      <w:proofErr w:type="spellEnd"/>
                      <w:r w:rsidRPr="009A11AC">
                        <w:t xml:space="preserve"> og </w:t>
                      </w:r>
                      <w:proofErr w:type="spellStart"/>
                      <w:r w:rsidRPr="009A11AC">
                        <w:t>kokumi</w:t>
                      </w:r>
                      <w:proofErr w:type="spellEnd"/>
                      <w:r w:rsidRPr="009A11AC"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F0539">
        <w:rPr>
          <w:noProof/>
          <w:color w:val="FF0000"/>
          <w:lang w:eastAsia="da-DK"/>
        </w:rPr>
        <w:drawing>
          <wp:anchor distT="0" distB="0" distL="114300" distR="114300" simplePos="0" relativeHeight="251659264" behindDoc="0" locked="0" layoutInCell="1" allowOverlap="1" wp14:anchorId="1591B66F" wp14:editId="12107261">
            <wp:simplePos x="0" y="0"/>
            <wp:positionH relativeFrom="margin">
              <wp:align>left</wp:align>
            </wp:positionH>
            <wp:positionV relativeFrom="paragraph">
              <wp:posOffset>837370</wp:posOffset>
            </wp:positionV>
            <wp:extent cx="2299335" cy="1560830"/>
            <wp:effectExtent l="0" t="0" r="5715" b="127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353">
        <w:t xml:space="preserve">Det er helt oplagt at bruge denne viden om </w:t>
      </w:r>
      <w:proofErr w:type="spellStart"/>
      <w:r w:rsidRPr="00C96CC6">
        <w:rPr>
          <w:i/>
          <w:iCs/>
        </w:rPr>
        <w:t>kokumi</w:t>
      </w:r>
      <w:proofErr w:type="spellEnd"/>
      <w:r w:rsidRPr="00925353">
        <w:t xml:space="preserve"> til at give mere smag til grøntsager. γ-</w:t>
      </w:r>
      <w:proofErr w:type="spellStart"/>
      <w:r w:rsidRPr="00925353">
        <w:t>Glu</w:t>
      </w:r>
      <w:proofErr w:type="spellEnd"/>
      <w:r w:rsidRPr="00925353">
        <w:t>-Val-</w:t>
      </w:r>
      <w:proofErr w:type="spellStart"/>
      <w:r w:rsidRPr="00925353">
        <w:t>Gly</w:t>
      </w:r>
      <w:proofErr w:type="spellEnd"/>
      <w:r w:rsidRPr="00925353">
        <w:t xml:space="preserve"> er i den sammenhæng måske det mest interessante stof, fordi dets virkning er tretten gange større end γ-</w:t>
      </w:r>
      <w:proofErr w:type="spellStart"/>
      <w:r w:rsidRPr="00925353">
        <w:t>Glu</w:t>
      </w:r>
      <w:proofErr w:type="spellEnd"/>
      <w:r w:rsidRPr="00925353">
        <w:t>-</w:t>
      </w:r>
      <w:proofErr w:type="spellStart"/>
      <w:r w:rsidRPr="00925353">
        <w:t>Cys-Gly</w:t>
      </w:r>
      <w:proofErr w:type="spellEnd"/>
      <w:r w:rsidRPr="00925353">
        <w:t xml:space="preserve">. Derfor er råvarer som soya- og fiskesauce, </w:t>
      </w:r>
      <w:r>
        <w:t xml:space="preserve">hvidløg, </w:t>
      </w:r>
      <w:r w:rsidRPr="00925353">
        <w:t xml:space="preserve">kammuslinger og øl kandidater til at give </w:t>
      </w:r>
      <w:proofErr w:type="spellStart"/>
      <w:r w:rsidRPr="00C96CC6">
        <w:rPr>
          <w:i/>
          <w:iCs/>
        </w:rPr>
        <w:t>kokumi</w:t>
      </w:r>
      <w:proofErr w:type="spellEnd"/>
      <w:r w:rsidRPr="00925353">
        <w:t xml:space="preserve"> og forstærket </w:t>
      </w:r>
      <w:proofErr w:type="spellStart"/>
      <w:r w:rsidRPr="00925353">
        <w:t>umami</w:t>
      </w:r>
      <w:proofErr w:type="spellEnd"/>
      <w:r w:rsidRPr="00925353">
        <w:t xml:space="preserve"> til grønne retter.</w:t>
      </w:r>
    </w:p>
    <w:sectPr w:rsidR="00C96CC6" w:rsidRPr="00973874" w:rsidSect="00CA71F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516F"/>
    <w:multiLevelType w:val="hybridMultilevel"/>
    <w:tmpl w:val="E7322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3109"/>
    <w:multiLevelType w:val="hybridMultilevel"/>
    <w:tmpl w:val="67C09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79E6"/>
    <w:multiLevelType w:val="hybridMultilevel"/>
    <w:tmpl w:val="C430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D6"/>
    <w:rsid w:val="0003702A"/>
    <w:rsid w:val="000439C0"/>
    <w:rsid w:val="000A7045"/>
    <w:rsid w:val="000D37DE"/>
    <w:rsid w:val="0010362E"/>
    <w:rsid w:val="00340F55"/>
    <w:rsid w:val="00343684"/>
    <w:rsid w:val="003B668C"/>
    <w:rsid w:val="005C5597"/>
    <w:rsid w:val="006B0F4F"/>
    <w:rsid w:val="00883BB2"/>
    <w:rsid w:val="00973874"/>
    <w:rsid w:val="00A26F79"/>
    <w:rsid w:val="00A5051C"/>
    <w:rsid w:val="00A63EE4"/>
    <w:rsid w:val="00B95480"/>
    <w:rsid w:val="00C96CC6"/>
    <w:rsid w:val="00CA71F9"/>
    <w:rsid w:val="00CD7D6D"/>
    <w:rsid w:val="00EF5C14"/>
    <w:rsid w:val="00F01ACC"/>
    <w:rsid w:val="00F5074C"/>
    <w:rsid w:val="00FB4F80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1937"/>
  <w15:chartTrackingRefBased/>
  <w15:docId w15:val="{01A14B07-5AFB-5149-9991-A371F74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B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B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5BD6"/>
    <w:pPr>
      <w:ind w:left="720"/>
      <w:contextualSpacing/>
    </w:pPr>
  </w:style>
  <w:style w:type="paragraph" w:customStyle="1" w:styleId="Box">
    <w:name w:val="Box"/>
    <w:basedOn w:val="Normal"/>
    <w:qFormat/>
    <w:rsid w:val="00C96CC6"/>
    <w:pPr>
      <w:shd w:val="clear" w:color="auto" w:fill="FBE4D5" w:themeFill="accent2" w:themeFillTint="33"/>
      <w:jc w:val="both"/>
    </w:pPr>
    <w:rPr>
      <w:rFonts w:ascii="Times New Roman" w:eastAsia="Times New Roman" w:hAnsi="Times New Roman" w:cs="Times New Roman"/>
    </w:rPr>
  </w:style>
  <w:style w:type="paragraph" w:customStyle="1" w:styleId="Kapitel">
    <w:name w:val="Kapitel"/>
    <w:basedOn w:val="Normal"/>
    <w:qFormat/>
    <w:rsid w:val="00C96CC6"/>
    <w:pPr>
      <w:jc w:val="both"/>
    </w:pPr>
    <w:rPr>
      <w:rFonts w:ascii="Arial" w:eastAsia="Times New Roman" w:hAnsi="Arial" w:cs="Times New Roman"/>
      <w:b/>
      <w:color w:val="4472C4" w:themeColor="accent1"/>
      <w:sz w:val="48"/>
    </w:rPr>
  </w:style>
  <w:style w:type="paragraph" w:styleId="Caption">
    <w:name w:val="caption"/>
    <w:basedOn w:val="Normal"/>
    <w:next w:val="Normal"/>
    <w:uiPriority w:val="35"/>
    <w:unhideWhenUsed/>
    <w:qFormat/>
    <w:rsid w:val="00C96CC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tuelnaturvidenskab.dk/fileadmin/Aktuel_Naturvidenskab/nr-4/an4-2012velsma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ktuelnaturvidenskab.dk/fileadmin/Aktuel_Naturvidenskab/nr-6/AN6-2019spis-gront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ktuelnaturvidenskab.dk/fileadmin/Aktuel_Naturvidenskab/nr-4/an4-2012velsm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1310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G. Mouritsen</dc:creator>
  <cp:keywords/>
  <dc:description/>
  <cp:lastModifiedBy>Jørgen Dahlgaard</cp:lastModifiedBy>
  <cp:revision>5</cp:revision>
  <dcterms:created xsi:type="dcterms:W3CDTF">2019-12-09T09:22:00Z</dcterms:created>
  <dcterms:modified xsi:type="dcterms:W3CDTF">2019-12-13T10:32:00Z</dcterms:modified>
</cp:coreProperties>
</file>