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6" w:rsidRDefault="00C60D90">
      <w:pPr>
        <w:pStyle w:val="Minoverskrift1"/>
      </w:pPr>
      <w:r>
        <w:fldChar w:fldCharType="begin"/>
      </w:r>
      <w:r>
        <w:instrText xml:space="preserve"> HYPERLINK "https://aktuelnaturvidenskab.dk/fileadmin/Aktuel_Naturvidenskab/nr-6/an6-2007grundstof.pdf" </w:instrText>
      </w:r>
      <w:r>
        <w:fldChar w:fldCharType="separate"/>
      </w:r>
      <w:r w:rsidR="005834BF" w:rsidRPr="00C60D90">
        <w:rPr>
          <w:rStyle w:val="Hyperlink"/>
        </w:rPr>
        <w:t>Grundstoffernes historie</w:t>
      </w:r>
      <w:r>
        <w:fldChar w:fldCharType="end"/>
      </w:r>
      <w:r>
        <w:t xml:space="preserve"> </w:t>
      </w:r>
      <w:r w:rsidRPr="00C60D90">
        <w:rPr>
          <w:b w:val="0"/>
        </w:rPr>
        <w:t>fra nr. 6-2007</w:t>
      </w:r>
    </w:p>
    <w:p w:rsidR="006C2A96" w:rsidRDefault="002C5077">
      <w:pPr>
        <w:pStyle w:val="Heading3"/>
      </w:pPr>
      <w:r>
        <w:t>Fag: Fysik A/B</w:t>
      </w:r>
    </w:p>
    <w:p w:rsidR="006C2A96" w:rsidRDefault="006C2A96">
      <w:pPr>
        <w:jc w:val="center"/>
        <w:rPr>
          <w:i/>
          <w:iCs/>
        </w:rPr>
      </w:pPr>
      <w:r>
        <w:rPr>
          <w:i/>
          <w:iCs/>
        </w:rPr>
        <w:t>Udarbejde</w:t>
      </w:r>
      <w:r w:rsidR="006122A7">
        <w:rPr>
          <w:i/>
          <w:iCs/>
        </w:rPr>
        <w:t xml:space="preserve">t af: </w:t>
      </w:r>
      <w:r w:rsidR="003B5811">
        <w:rPr>
          <w:i/>
          <w:iCs/>
        </w:rPr>
        <w:t>Michael Bjerring Ch</w:t>
      </w:r>
      <w:r w:rsidR="002C5077">
        <w:rPr>
          <w:i/>
          <w:iCs/>
        </w:rPr>
        <w:t>ristiansen, Ingeniørhøjskolen Aarhus Universitet</w:t>
      </w:r>
      <w:r w:rsidR="00E907CA">
        <w:rPr>
          <w:i/>
          <w:iCs/>
        </w:rPr>
        <w:t>, nov. 200</w:t>
      </w:r>
      <w:r w:rsidR="003B5811">
        <w:rPr>
          <w:i/>
          <w:iCs/>
        </w:rPr>
        <w:t xml:space="preserve">8 </w:t>
      </w:r>
      <w:r w:rsidR="00E907CA">
        <w:rPr>
          <w:i/>
          <w:iCs/>
        </w:rPr>
        <w:t>opdateret april 2018</w:t>
      </w: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Spørgsmål til artiklen</w:t>
      </w:r>
    </w:p>
    <w:p w:rsidR="006C2A96" w:rsidRDefault="003B5811">
      <w:pPr>
        <w:numPr>
          <w:ilvl w:val="0"/>
          <w:numId w:val="2"/>
        </w:numPr>
        <w:jc w:val="both"/>
      </w:pPr>
      <w:r>
        <w:t xml:space="preserve">Hvilket grundstof, mente Hans </w:t>
      </w:r>
      <w:proofErr w:type="spellStart"/>
      <w:r>
        <w:t>Bethe</w:t>
      </w:r>
      <w:proofErr w:type="spellEnd"/>
      <w:r>
        <w:t>, var det enest</w:t>
      </w:r>
      <w:bookmarkStart w:id="0" w:name="_GoBack"/>
      <w:bookmarkEnd w:id="0"/>
      <w:r>
        <w:t>e</w:t>
      </w:r>
      <w:r w:rsidR="00A0459D">
        <w:t>,</w:t>
      </w:r>
      <w:r>
        <w:t xml:space="preserve"> der kunne dannes </w:t>
      </w:r>
      <w:r w:rsidR="00A0459D">
        <w:t>ved fusion af brint i stjerner?</w:t>
      </w:r>
    </w:p>
    <w:p w:rsidR="0011020E" w:rsidRDefault="0011020E" w:rsidP="0011020E">
      <w:pPr>
        <w:jc w:val="both"/>
      </w:pPr>
    </w:p>
    <w:p w:rsidR="003B5811" w:rsidRDefault="003B5811">
      <w:pPr>
        <w:numPr>
          <w:ilvl w:val="0"/>
          <w:numId w:val="2"/>
        </w:numPr>
        <w:jc w:val="both"/>
      </w:pPr>
      <w:r>
        <w:t>Hvorfor er figuren over fordelingen af grundstoffer savtakket</w:t>
      </w:r>
      <w:r w:rsidR="00A0459D">
        <w:t>?</w:t>
      </w:r>
    </w:p>
    <w:p w:rsidR="0011020E" w:rsidRDefault="0011020E" w:rsidP="0011020E">
      <w:pPr>
        <w:jc w:val="both"/>
      </w:pPr>
    </w:p>
    <w:p w:rsidR="003B5811" w:rsidRDefault="003B5811">
      <w:pPr>
        <w:numPr>
          <w:ilvl w:val="0"/>
          <w:numId w:val="2"/>
        </w:numPr>
        <w:jc w:val="both"/>
      </w:pPr>
      <w:r>
        <w:t xml:space="preserve">Hvorfor er grundstofferne </w:t>
      </w:r>
      <w:proofErr w:type="spellStart"/>
      <w:r>
        <w:t>lithium</w:t>
      </w:r>
      <w:proofErr w:type="spellEnd"/>
      <w:r>
        <w:t xml:space="preserve"> (Li), beryllium (Be) og Bor (B) relativt sjældne grundstoffer</w:t>
      </w:r>
      <w:r w:rsidR="00A0459D">
        <w:t>?</w:t>
      </w:r>
    </w:p>
    <w:p w:rsidR="0011020E" w:rsidRDefault="0011020E" w:rsidP="0011020E">
      <w:pPr>
        <w:jc w:val="both"/>
      </w:pPr>
    </w:p>
    <w:p w:rsidR="00A0459D" w:rsidRDefault="00A0459D">
      <w:pPr>
        <w:numPr>
          <w:ilvl w:val="0"/>
          <w:numId w:val="2"/>
        </w:numPr>
        <w:jc w:val="both"/>
      </w:pPr>
      <w:r>
        <w:t>Hvorfor kan en stjerne kun danne grundstoffer op til jern i fusionsprocesser, og hvordan spredes disse grundstoffer ud i universet?</w:t>
      </w:r>
    </w:p>
    <w:p w:rsidR="006C08F5" w:rsidRDefault="006C08F5" w:rsidP="006C08F5">
      <w:pPr>
        <w:jc w:val="both"/>
      </w:pPr>
    </w:p>
    <w:p w:rsidR="006C08F5" w:rsidRDefault="006C08F5">
      <w:pPr>
        <w:numPr>
          <w:ilvl w:val="0"/>
          <w:numId w:val="2"/>
        </w:numPr>
        <w:jc w:val="both"/>
      </w:pPr>
      <w:r>
        <w:t xml:space="preserve">Hvad er massefylden i centrum af en rød kæmpestjerne på dens sidste </w:t>
      </w:r>
      <w:proofErr w:type="spellStart"/>
      <w:r>
        <w:t>levedag</w:t>
      </w:r>
      <w:proofErr w:type="spellEnd"/>
      <w:r>
        <w:t>.</w:t>
      </w:r>
    </w:p>
    <w:p w:rsidR="0011020E" w:rsidRDefault="0011020E" w:rsidP="0011020E">
      <w:pPr>
        <w:jc w:val="both"/>
      </w:pPr>
    </w:p>
    <w:p w:rsidR="00A0459D" w:rsidRDefault="000974FA">
      <w:pPr>
        <w:numPr>
          <w:ilvl w:val="0"/>
          <w:numId w:val="2"/>
        </w:numPr>
        <w:jc w:val="both"/>
      </w:pPr>
      <w:r>
        <w:t>Hvordan dannes grundstoffer</w:t>
      </w:r>
      <w:r w:rsidR="006122A7">
        <w:t xml:space="preserve"> med større atomnummer end jern, og hvor formoder man det sker?</w:t>
      </w:r>
    </w:p>
    <w:p w:rsidR="006122A7" w:rsidRDefault="006122A7" w:rsidP="006122A7">
      <w:pPr>
        <w:jc w:val="both"/>
      </w:pPr>
    </w:p>
    <w:p w:rsidR="006122A7" w:rsidRDefault="006122A7" w:rsidP="006122A7">
      <w:pPr>
        <w:pStyle w:val="Minoverskrift2"/>
        <w:jc w:val="both"/>
      </w:pPr>
      <w:r>
        <w:t>Uddybende opgaver og spørgsmål</w:t>
      </w:r>
    </w:p>
    <w:p w:rsidR="006122A7" w:rsidRDefault="006122A7" w:rsidP="006122A7">
      <w:pPr>
        <w:jc w:val="both"/>
      </w:pPr>
    </w:p>
    <w:p w:rsidR="00C225B7" w:rsidRDefault="002D4986" w:rsidP="006122A7">
      <w:pPr>
        <w:jc w:val="both"/>
      </w:pPr>
      <w:r>
        <w:t xml:space="preserve">Figuren herunder viser, hvilke processer, man i dag mener, der har været involveret i dannelsen af de forskellige grundstoffer. </w:t>
      </w:r>
      <w:r w:rsidR="008669EC">
        <w:t>Bemærk, at kolliderende neutronstjerners betydning for grundstof dannelsen ikke var kendt, da artiklen blev skrevet. Bemærk også, at den primære kilde til universets indhold af helium er selve Big Bang. De heliummængder</w:t>
      </w:r>
      <w:r w:rsidR="00AE5461">
        <w:t>,</w:t>
      </w:r>
      <w:r w:rsidR="008669EC">
        <w:t xml:space="preserve"> der sidenhen er dannet i stjerner</w:t>
      </w:r>
      <w:r w:rsidR="00AE5461">
        <w:t>,</w:t>
      </w:r>
      <w:r w:rsidR="008669EC">
        <w:t xml:space="preserve"> udgør selv i dag kun en lille procentdel af universets samlede indhold af helium.</w:t>
      </w:r>
    </w:p>
    <w:p w:rsidR="00C225B7" w:rsidRDefault="00C225B7" w:rsidP="006122A7">
      <w:pPr>
        <w:jc w:val="both"/>
      </w:pPr>
      <w:r>
        <w:rPr>
          <w:noProof/>
        </w:rPr>
        <w:drawing>
          <wp:inline distT="0" distB="0" distL="0" distR="0">
            <wp:extent cx="6120130" cy="306006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px-Nucleosynthesis_periodic_table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0E" w:rsidRDefault="008669EC">
      <w:pPr>
        <w:numPr>
          <w:ilvl w:val="0"/>
          <w:numId w:val="2"/>
        </w:numPr>
        <w:jc w:val="both"/>
      </w:pPr>
      <w:r>
        <w:lastRenderedPageBreak/>
        <w:t xml:space="preserve">Man kan meget groft inddele grundstofferne i fire grupper efter deres primære dannelseskilde. </w:t>
      </w:r>
      <w:r w:rsidR="00222558">
        <w:t>Brug figuren</w:t>
      </w:r>
      <w:r w:rsidR="00353B86">
        <w:t xml:space="preserve"> </w:t>
      </w:r>
      <w:r w:rsidR="0011020E">
        <w:t xml:space="preserve">til at udfylde </w:t>
      </w:r>
      <w:r w:rsidR="008F6704">
        <w:t xml:space="preserve">resten af </w:t>
      </w:r>
      <w:r w:rsidR="0011020E">
        <w:t xml:space="preserve">skemaet herunder. </w:t>
      </w:r>
    </w:p>
    <w:p w:rsidR="00353B86" w:rsidRDefault="00353B86" w:rsidP="00353B86">
      <w:pPr>
        <w:ind w:left="340"/>
        <w:jc w:val="both"/>
      </w:pPr>
    </w:p>
    <w:tbl>
      <w:tblPr>
        <w:tblStyle w:val="TableGrid"/>
        <w:tblW w:w="9779" w:type="dxa"/>
        <w:jc w:val="center"/>
        <w:tblLook w:val="04A0" w:firstRow="1" w:lastRow="0" w:firstColumn="1" w:lastColumn="0" w:noHBand="0" w:noVBand="1"/>
      </w:tblPr>
      <w:tblGrid>
        <w:gridCol w:w="2065"/>
        <w:gridCol w:w="1481"/>
        <w:gridCol w:w="2202"/>
        <w:gridCol w:w="2416"/>
        <w:gridCol w:w="1615"/>
      </w:tblGrid>
      <w:tr w:rsidR="00222558" w:rsidTr="00222558">
        <w:trPr>
          <w:trHeight w:val="454"/>
          <w:jc w:val="center"/>
        </w:trPr>
        <w:tc>
          <w:tcPr>
            <w:tcW w:w="2065" w:type="dxa"/>
            <w:vAlign w:val="center"/>
          </w:tcPr>
          <w:p w:rsidR="00222558" w:rsidRDefault="00222558" w:rsidP="004465EF">
            <w:pPr>
              <w:jc w:val="both"/>
            </w:pPr>
            <w:r>
              <w:t>Grundstofnumre</w:t>
            </w:r>
          </w:p>
        </w:tc>
        <w:tc>
          <w:tcPr>
            <w:tcW w:w="1481" w:type="dxa"/>
            <w:vAlign w:val="center"/>
          </w:tcPr>
          <w:p w:rsidR="00222558" w:rsidRDefault="00222558" w:rsidP="00222558">
            <w:pPr>
              <w:jc w:val="center"/>
            </w:pPr>
          </w:p>
        </w:tc>
        <w:tc>
          <w:tcPr>
            <w:tcW w:w="2202" w:type="dxa"/>
            <w:vAlign w:val="center"/>
          </w:tcPr>
          <w:p w:rsidR="00222558" w:rsidRDefault="00222558" w:rsidP="00222558">
            <w:pPr>
              <w:jc w:val="center"/>
            </w:pPr>
            <w:r>
              <w:t>4, 5</w:t>
            </w:r>
          </w:p>
        </w:tc>
        <w:tc>
          <w:tcPr>
            <w:tcW w:w="2416" w:type="dxa"/>
            <w:vAlign w:val="center"/>
          </w:tcPr>
          <w:p w:rsidR="00222558" w:rsidRDefault="00222558" w:rsidP="00222558">
            <w:pPr>
              <w:jc w:val="center"/>
            </w:pPr>
            <w:r>
              <w:t>3, 6-42</w:t>
            </w:r>
          </w:p>
        </w:tc>
        <w:tc>
          <w:tcPr>
            <w:tcW w:w="1615" w:type="dxa"/>
            <w:vAlign w:val="center"/>
          </w:tcPr>
          <w:p w:rsidR="00222558" w:rsidRDefault="00222558" w:rsidP="00222558">
            <w:pPr>
              <w:jc w:val="center"/>
            </w:pPr>
          </w:p>
        </w:tc>
      </w:tr>
      <w:tr w:rsidR="00222558" w:rsidTr="00222558">
        <w:trPr>
          <w:trHeight w:val="454"/>
          <w:jc w:val="center"/>
        </w:trPr>
        <w:tc>
          <w:tcPr>
            <w:tcW w:w="2065" w:type="dxa"/>
            <w:vAlign w:val="center"/>
          </w:tcPr>
          <w:p w:rsidR="00222558" w:rsidRDefault="00222558" w:rsidP="004465EF">
            <w:pPr>
              <w:jc w:val="both"/>
            </w:pPr>
            <w:r>
              <w:t>Kemiske symboler</w:t>
            </w:r>
          </w:p>
        </w:tc>
        <w:tc>
          <w:tcPr>
            <w:tcW w:w="1481" w:type="dxa"/>
            <w:vAlign w:val="center"/>
          </w:tcPr>
          <w:p w:rsidR="00222558" w:rsidRDefault="00222558" w:rsidP="00222558">
            <w:pPr>
              <w:jc w:val="center"/>
            </w:pPr>
            <w:r>
              <w:t>H og He</w:t>
            </w:r>
          </w:p>
        </w:tc>
        <w:tc>
          <w:tcPr>
            <w:tcW w:w="2202" w:type="dxa"/>
            <w:vAlign w:val="center"/>
          </w:tcPr>
          <w:p w:rsidR="00222558" w:rsidRDefault="00222558" w:rsidP="0022255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22558" w:rsidRDefault="00222558" w:rsidP="00222558">
            <w:pPr>
              <w:jc w:val="center"/>
            </w:pPr>
          </w:p>
        </w:tc>
        <w:tc>
          <w:tcPr>
            <w:tcW w:w="1615" w:type="dxa"/>
            <w:vAlign w:val="center"/>
          </w:tcPr>
          <w:p w:rsidR="00222558" w:rsidRDefault="00222558" w:rsidP="00222558">
            <w:pPr>
              <w:jc w:val="center"/>
            </w:pPr>
            <w:r>
              <w:t xml:space="preserve">Ru til </w:t>
            </w:r>
            <w:proofErr w:type="spellStart"/>
            <w:r>
              <w:t>Pu</w:t>
            </w:r>
            <w:proofErr w:type="spellEnd"/>
          </w:p>
        </w:tc>
      </w:tr>
      <w:tr w:rsidR="00222558" w:rsidTr="00222558">
        <w:trPr>
          <w:trHeight w:val="454"/>
          <w:jc w:val="center"/>
        </w:trPr>
        <w:tc>
          <w:tcPr>
            <w:tcW w:w="2065" w:type="dxa"/>
            <w:vAlign w:val="center"/>
          </w:tcPr>
          <w:p w:rsidR="00222558" w:rsidRDefault="00222558" w:rsidP="004465EF">
            <w:pPr>
              <w:jc w:val="both"/>
            </w:pPr>
            <w:r>
              <w:t>Primær dannelseskilde</w:t>
            </w:r>
          </w:p>
        </w:tc>
        <w:tc>
          <w:tcPr>
            <w:tcW w:w="1481" w:type="dxa"/>
            <w:vAlign w:val="center"/>
          </w:tcPr>
          <w:p w:rsidR="00222558" w:rsidRDefault="00222558" w:rsidP="00222558">
            <w:pPr>
              <w:jc w:val="center"/>
            </w:pPr>
          </w:p>
        </w:tc>
        <w:tc>
          <w:tcPr>
            <w:tcW w:w="2202" w:type="dxa"/>
            <w:vAlign w:val="center"/>
          </w:tcPr>
          <w:p w:rsidR="00222558" w:rsidRDefault="00222558" w:rsidP="0022255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22558" w:rsidRDefault="00222558" w:rsidP="00222558">
            <w:pPr>
              <w:jc w:val="center"/>
            </w:pPr>
            <w:r>
              <w:t>Døende/eksploderende stjerner/hvide dværge</w:t>
            </w:r>
          </w:p>
        </w:tc>
        <w:tc>
          <w:tcPr>
            <w:tcW w:w="1615" w:type="dxa"/>
            <w:vAlign w:val="center"/>
          </w:tcPr>
          <w:p w:rsidR="00222558" w:rsidRDefault="00222558" w:rsidP="00222558">
            <w:pPr>
              <w:jc w:val="center"/>
            </w:pPr>
          </w:p>
        </w:tc>
      </w:tr>
    </w:tbl>
    <w:p w:rsidR="004465EF" w:rsidRDefault="004465EF" w:rsidP="004465EF">
      <w:pPr>
        <w:ind w:left="340"/>
        <w:jc w:val="both"/>
      </w:pPr>
    </w:p>
    <w:p w:rsidR="006122A7" w:rsidRDefault="006122A7" w:rsidP="0011020E">
      <w:pPr>
        <w:jc w:val="both"/>
      </w:pPr>
      <w:r>
        <w:t xml:space="preserve"> </w:t>
      </w:r>
    </w:p>
    <w:p w:rsidR="00353B86" w:rsidRDefault="00353B86">
      <w:pPr>
        <w:numPr>
          <w:ilvl w:val="0"/>
          <w:numId w:val="2"/>
        </w:numPr>
        <w:jc w:val="both"/>
      </w:pPr>
      <w:r>
        <w:t xml:space="preserve">Hvad er den primære dannelseskilde til smykkemetaller som guld (Au) og sølv (Ag)? </w:t>
      </w:r>
    </w:p>
    <w:p w:rsidR="00C309DE" w:rsidRDefault="00C309DE" w:rsidP="00C309DE">
      <w:pPr>
        <w:ind w:left="340"/>
        <w:jc w:val="both"/>
      </w:pPr>
    </w:p>
    <w:p w:rsidR="00C309DE" w:rsidRDefault="00C309DE">
      <w:pPr>
        <w:numPr>
          <w:ilvl w:val="0"/>
          <w:numId w:val="2"/>
        </w:numPr>
        <w:jc w:val="both"/>
      </w:pPr>
      <w:r>
        <w:t>Undersøg, hvad man kalder det fænomen, når to neutronstjerner kollide</w:t>
      </w:r>
      <w:r w:rsidR="008F17B0">
        <w:t>rer og smelter sammen</w:t>
      </w:r>
      <w:r w:rsidR="00FA4323">
        <w:t>,</w:t>
      </w:r>
      <w:r w:rsidR="008F17B0">
        <w:t xml:space="preserve"> se for eksempel </w:t>
      </w:r>
      <w:hyperlink r:id="rId8" w:history="1">
        <w:r w:rsidR="008F17B0" w:rsidRPr="008F17B0">
          <w:rPr>
            <w:rStyle w:val="Hyperlink"/>
          </w:rPr>
          <w:t>her</w:t>
        </w:r>
      </w:hyperlink>
      <w:r>
        <w:t xml:space="preserve"> og find</w:t>
      </w:r>
      <w:r w:rsidR="008F17B0">
        <w:t xml:space="preserve"> desuden</w:t>
      </w:r>
      <w:r>
        <w:t xml:space="preserve"> nogle gode videoer, der forklarer fænomenet.</w:t>
      </w:r>
    </w:p>
    <w:p w:rsidR="00353B86" w:rsidRDefault="00353B86" w:rsidP="00353B86">
      <w:pPr>
        <w:ind w:left="340"/>
        <w:jc w:val="both"/>
      </w:pPr>
    </w:p>
    <w:p w:rsidR="0011020E" w:rsidRDefault="000F15F3">
      <w:pPr>
        <w:numPr>
          <w:ilvl w:val="0"/>
          <w:numId w:val="2"/>
        </w:numPr>
        <w:jc w:val="both"/>
      </w:pPr>
      <w:r>
        <w:t>Tabellen herunder viser fordelingen efter masse af de hyppigst forekommende grundstof</w:t>
      </w:r>
      <w:r w:rsidR="00457220">
        <w:t>fer i et menneske, der vejer 70</w:t>
      </w:r>
      <w:r>
        <w:t>kg. Beregn hvor stor en procentdel af grundstofferne i et menneske, der er dannet efter hver af de primære dannelseskilder fra skemaet herover.</w:t>
      </w:r>
    </w:p>
    <w:p w:rsidR="00353B86" w:rsidRDefault="00353B86" w:rsidP="00353B86">
      <w:pPr>
        <w:ind w:left="340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91"/>
        <w:gridCol w:w="519"/>
        <w:gridCol w:w="519"/>
        <w:gridCol w:w="474"/>
        <w:gridCol w:w="559"/>
        <w:gridCol w:w="548"/>
        <w:gridCol w:w="641"/>
        <w:gridCol w:w="641"/>
        <w:gridCol w:w="641"/>
        <w:gridCol w:w="559"/>
        <w:gridCol w:w="756"/>
        <w:gridCol w:w="756"/>
        <w:gridCol w:w="877"/>
        <w:gridCol w:w="947"/>
      </w:tblGrid>
      <w:tr w:rsidR="00106F2D" w:rsidTr="00106F2D">
        <w:trPr>
          <w:trHeight w:val="425"/>
        </w:trPr>
        <w:tc>
          <w:tcPr>
            <w:tcW w:w="1190" w:type="dxa"/>
            <w:vAlign w:val="center"/>
          </w:tcPr>
          <w:p w:rsidR="00106F2D" w:rsidRDefault="00106F2D" w:rsidP="000F15F3">
            <w:pPr>
              <w:jc w:val="center"/>
            </w:pPr>
            <w:r>
              <w:t>Grundstof</w:t>
            </w:r>
          </w:p>
        </w:tc>
        <w:tc>
          <w:tcPr>
            <w:tcW w:w="552" w:type="dxa"/>
            <w:vAlign w:val="center"/>
          </w:tcPr>
          <w:p w:rsidR="00106F2D" w:rsidRDefault="00106F2D" w:rsidP="000F15F3">
            <w:pPr>
              <w:jc w:val="center"/>
            </w:pPr>
            <w:r>
              <w:t>O</w:t>
            </w:r>
          </w:p>
        </w:tc>
        <w:tc>
          <w:tcPr>
            <w:tcW w:w="553" w:type="dxa"/>
            <w:vAlign w:val="center"/>
          </w:tcPr>
          <w:p w:rsidR="00106F2D" w:rsidRDefault="00106F2D" w:rsidP="000F15F3">
            <w:pPr>
              <w:jc w:val="center"/>
            </w:pPr>
            <w:r>
              <w:t>C</w:t>
            </w:r>
          </w:p>
        </w:tc>
        <w:tc>
          <w:tcPr>
            <w:tcW w:w="519" w:type="dxa"/>
            <w:vAlign w:val="center"/>
          </w:tcPr>
          <w:p w:rsidR="00106F2D" w:rsidRDefault="00106F2D" w:rsidP="000F15F3">
            <w:pPr>
              <w:jc w:val="center"/>
            </w:pPr>
            <w:r>
              <w:t>H</w:t>
            </w:r>
          </w:p>
        </w:tc>
        <w:tc>
          <w:tcPr>
            <w:tcW w:w="583" w:type="dxa"/>
            <w:vAlign w:val="center"/>
          </w:tcPr>
          <w:p w:rsidR="00106F2D" w:rsidRDefault="00106F2D" w:rsidP="000F15F3">
            <w:pPr>
              <w:jc w:val="center"/>
            </w:pPr>
            <w:r>
              <w:t>N</w:t>
            </w:r>
          </w:p>
        </w:tc>
        <w:tc>
          <w:tcPr>
            <w:tcW w:w="566" w:type="dxa"/>
            <w:vAlign w:val="center"/>
          </w:tcPr>
          <w:p w:rsidR="00106F2D" w:rsidRDefault="00106F2D" w:rsidP="000F15F3">
            <w:pPr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P</w:t>
            </w:r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K</w:t>
            </w:r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S</w:t>
            </w:r>
          </w:p>
        </w:tc>
        <w:tc>
          <w:tcPr>
            <w:tcW w:w="583" w:type="dxa"/>
            <w:vAlign w:val="center"/>
          </w:tcPr>
          <w:p w:rsidR="00106F2D" w:rsidRDefault="00106F2D" w:rsidP="000F15F3">
            <w:pPr>
              <w:jc w:val="center"/>
            </w:pPr>
            <w:r>
              <w:t>Na</w:t>
            </w:r>
          </w:p>
        </w:tc>
        <w:tc>
          <w:tcPr>
            <w:tcW w:w="756" w:type="dxa"/>
            <w:vAlign w:val="center"/>
          </w:tcPr>
          <w:p w:rsidR="00106F2D" w:rsidRDefault="00106F2D" w:rsidP="000F15F3">
            <w:pPr>
              <w:jc w:val="center"/>
            </w:pPr>
            <w:r>
              <w:t>Cl</w:t>
            </w:r>
          </w:p>
        </w:tc>
        <w:tc>
          <w:tcPr>
            <w:tcW w:w="756" w:type="dxa"/>
            <w:vAlign w:val="center"/>
          </w:tcPr>
          <w:p w:rsidR="00106F2D" w:rsidRDefault="00106F2D" w:rsidP="000F15F3">
            <w:pPr>
              <w:jc w:val="center"/>
            </w:pPr>
            <w:r>
              <w:t>Mg</w:t>
            </w:r>
          </w:p>
        </w:tc>
        <w:tc>
          <w:tcPr>
            <w:tcW w:w="878" w:type="dxa"/>
            <w:vAlign w:val="center"/>
          </w:tcPr>
          <w:p w:rsidR="00106F2D" w:rsidRDefault="00106F2D" w:rsidP="000F15F3">
            <w:pPr>
              <w:jc w:val="center"/>
            </w:pPr>
            <w:r>
              <w:t>Fe</w:t>
            </w:r>
          </w:p>
        </w:tc>
        <w:tc>
          <w:tcPr>
            <w:tcW w:w="986" w:type="dxa"/>
            <w:vAlign w:val="center"/>
          </w:tcPr>
          <w:p w:rsidR="00106F2D" w:rsidRDefault="00106F2D" w:rsidP="000F15F3">
            <w:pPr>
              <w:jc w:val="center"/>
            </w:pPr>
            <w:r>
              <w:t>F</w:t>
            </w:r>
          </w:p>
        </w:tc>
      </w:tr>
      <w:tr w:rsidR="00106F2D" w:rsidTr="00106F2D">
        <w:trPr>
          <w:trHeight w:val="425"/>
        </w:trPr>
        <w:tc>
          <w:tcPr>
            <w:tcW w:w="1190" w:type="dxa"/>
            <w:vAlign w:val="center"/>
          </w:tcPr>
          <w:p w:rsidR="00106F2D" w:rsidRDefault="00106F2D" w:rsidP="000F15F3">
            <w:pPr>
              <w:jc w:val="center"/>
            </w:pPr>
            <w:r>
              <w:t>Masse i kg</w:t>
            </w:r>
          </w:p>
        </w:tc>
        <w:tc>
          <w:tcPr>
            <w:tcW w:w="552" w:type="dxa"/>
            <w:vAlign w:val="center"/>
          </w:tcPr>
          <w:p w:rsidR="00106F2D" w:rsidRDefault="00106F2D" w:rsidP="000F15F3">
            <w:pPr>
              <w:jc w:val="center"/>
            </w:pPr>
            <w:r>
              <w:t>43</w:t>
            </w:r>
          </w:p>
        </w:tc>
        <w:tc>
          <w:tcPr>
            <w:tcW w:w="553" w:type="dxa"/>
            <w:vAlign w:val="center"/>
          </w:tcPr>
          <w:p w:rsidR="00106F2D" w:rsidRDefault="00106F2D" w:rsidP="000F15F3">
            <w:pPr>
              <w:jc w:val="center"/>
            </w:pPr>
            <w:r>
              <w:t>16</w:t>
            </w:r>
          </w:p>
        </w:tc>
        <w:tc>
          <w:tcPr>
            <w:tcW w:w="519" w:type="dxa"/>
            <w:vAlign w:val="center"/>
          </w:tcPr>
          <w:p w:rsidR="00106F2D" w:rsidRDefault="00106F2D" w:rsidP="000F15F3">
            <w:pPr>
              <w:jc w:val="center"/>
            </w:pPr>
            <w:r>
              <w:t>7</w:t>
            </w:r>
          </w:p>
        </w:tc>
        <w:tc>
          <w:tcPr>
            <w:tcW w:w="583" w:type="dxa"/>
            <w:vAlign w:val="center"/>
          </w:tcPr>
          <w:p w:rsidR="00106F2D" w:rsidRDefault="00106F2D" w:rsidP="000F15F3">
            <w:pPr>
              <w:jc w:val="center"/>
            </w:pPr>
            <w:r>
              <w:t>1,8</w:t>
            </w:r>
          </w:p>
        </w:tc>
        <w:tc>
          <w:tcPr>
            <w:tcW w:w="566" w:type="dxa"/>
            <w:vAlign w:val="center"/>
          </w:tcPr>
          <w:p w:rsidR="00106F2D" w:rsidRDefault="00106F2D" w:rsidP="000F15F3">
            <w:pPr>
              <w:jc w:val="center"/>
            </w:pPr>
            <w:r>
              <w:t>1</w:t>
            </w:r>
            <w:r w:rsidR="0048332C">
              <w:t>,0</w:t>
            </w:r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0,78</w:t>
            </w:r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0,14</w:t>
            </w:r>
          </w:p>
        </w:tc>
        <w:tc>
          <w:tcPr>
            <w:tcW w:w="644" w:type="dxa"/>
            <w:vAlign w:val="center"/>
          </w:tcPr>
          <w:p w:rsidR="00106F2D" w:rsidRDefault="00106F2D" w:rsidP="000F15F3">
            <w:pPr>
              <w:jc w:val="center"/>
            </w:pPr>
            <w:r>
              <w:t>0,14</w:t>
            </w:r>
          </w:p>
        </w:tc>
        <w:tc>
          <w:tcPr>
            <w:tcW w:w="583" w:type="dxa"/>
            <w:vAlign w:val="center"/>
          </w:tcPr>
          <w:p w:rsidR="00106F2D" w:rsidRDefault="00106F2D" w:rsidP="000F15F3">
            <w:pPr>
              <w:jc w:val="center"/>
            </w:pPr>
            <w:r>
              <w:t>0,1</w:t>
            </w:r>
          </w:p>
        </w:tc>
        <w:tc>
          <w:tcPr>
            <w:tcW w:w="756" w:type="dxa"/>
            <w:vAlign w:val="center"/>
          </w:tcPr>
          <w:p w:rsidR="00106F2D" w:rsidRDefault="00106F2D" w:rsidP="000F15F3">
            <w:pPr>
              <w:jc w:val="center"/>
            </w:pPr>
            <w:r>
              <w:t>0,095</w:t>
            </w:r>
          </w:p>
        </w:tc>
        <w:tc>
          <w:tcPr>
            <w:tcW w:w="756" w:type="dxa"/>
            <w:vAlign w:val="center"/>
          </w:tcPr>
          <w:p w:rsidR="00106F2D" w:rsidRDefault="00106F2D" w:rsidP="000F15F3">
            <w:pPr>
              <w:jc w:val="center"/>
            </w:pPr>
            <w:r>
              <w:t>0,019</w:t>
            </w:r>
          </w:p>
        </w:tc>
        <w:tc>
          <w:tcPr>
            <w:tcW w:w="878" w:type="dxa"/>
            <w:vAlign w:val="center"/>
          </w:tcPr>
          <w:p w:rsidR="00106F2D" w:rsidRPr="00106F2D" w:rsidRDefault="00106F2D" w:rsidP="000F15F3">
            <w:pPr>
              <w:jc w:val="center"/>
              <w:rPr>
                <w:vertAlign w:val="superscript"/>
              </w:rPr>
            </w:pPr>
            <w:r>
              <w:t>0,0042</w:t>
            </w:r>
          </w:p>
        </w:tc>
        <w:tc>
          <w:tcPr>
            <w:tcW w:w="986" w:type="dxa"/>
            <w:vAlign w:val="center"/>
          </w:tcPr>
          <w:p w:rsidR="00106F2D" w:rsidRDefault="00106F2D" w:rsidP="000F15F3">
            <w:pPr>
              <w:jc w:val="center"/>
            </w:pPr>
            <w:r>
              <w:t>0,0026</w:t>
            </w:r>
          </w:p>
        </w:tc>
      </w:tr>
    </w:tbl>
    <w:p w:rsidR="000F15F3" w:rsidRDefault="000F15F3" w:rsidP="000F15F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18"/>
        <w:gridCol w:w="1192"/>
        <w:gridCol w:w="1192"/>
        <w:gridCol w:w="1203"/>
        <w:gridCol w:w="1203"/>
        <w:gridCol w:w="1203"/>
        <w:gridCol w:w="1203"/>
        <w:gridCol w:w="1214"/>
      </w:tblGrid>
      <w:tr w:rsidR="00106F2D" w:rsidTr="00106F2D">
        <w:trPr>
          <w:trHeight w:val="425"/>
        </w:trPr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r>
              <w:t>Grundstof</w:t>
            </w:r>
          </w:p>
        </w:tc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proofErr w:type="spellStart"/>
            <w:r>
              <w:t>Zn</w:t>
            </w:r>
            <w:proofErr w:type="spellEnd"/>
          </w:p>
        </w:tc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r>
              <w:t>Si</w:t>
            </w:r>
          </w:p>
        </w:tc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r>
              <w:t>Rb</w:t>
            </w:r>
          </w:p>
        </w:tc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r>
              <w:t>Sr</w:t>
            </w:r>
          </w:p>
        </w:tc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proofErr w:type="spellStart"/>
            <w:r>
              <w:t>Br</w:t>
            </w:r>
            <w:proofErr w:type="spellEnd"/>
          </w:p>
        </w:tc>
        <w:tc>
          <w:tcPr>
            <w:tcW w:w="1223" w:type="dxa"/>
            <w:vAlign w:val="center"/>
          </w:tcPr>
          <w:p w:rsidR="00106F2D" w:rsidRDefault="00106F2D" w:rsidP="00106F2D">
            <w:pPr>
              <w:jc w:val="center"/>
            </w:pPr>
            <w:proofErr w:type="spellStart"/>
            <w:r>
              <w:t>Pb</w:t>
            </w:r>
            <w:proofErr w:type="spellEnd"/>
          </w:p>
        </w:tc>
        <w:tc>
          <w:tcPr>
            <w:tcW w:w="1223" w:type="dxa"/>
            <w:vAlign w:val="center"/>
          </w:tcPr>
          <w:p w:rsidR="00106F2D" w:rsidRDefault="00106F2D" w:rsidP="00106F2D">
            <w:pPr>
              <w:jc w:val="center"/>
            </w:pPr>
            <w:proofErr w:type="spellStart"/>
            <w:r>
              <w:t>Cu</w:t>
            </w:r>
            <w:proofErr w:type="spellEnd"/>
          </w:p>
        </w:tc>
      </w:tr>
      <w:tr w:rsidR="00106F2D" w:rsidTr="00106F2D">
        <w:trPr>
          <w:trHeight w:val="425"/>
        </w:trPr>
        <w:tc>
          <w:tcPr>
            <w:tcW w:w="1222" w:type="dxa"/>
            <w:vAlign w:val="center"/>
          </w:tcPr>
          <w:p w:rsidR="00106F2D" w:rsidRDefault="00106F2D" w:rsidP="00106F2D">
            <w:pPr>
              <w:jc w:val="center"/>
            </w:pPr>
            <w:r>
              <w:t>Masse i kg</w:t>
            </w:r>
          </w:p>
        </w:tc>
        <w:tc>
          <w:tcPr>
            <w:tcW w:w="1222" w:type="dxa"/>
            <w:vAlign w:val="center"/>
          </w:tcPr>
          <w:p w:rsidR="00106F2D" w:rsidRDefault="0063347E" w:rsidP="00106F2D">
            <w:pPr>
              <w:jc w:val="center"/>
            </w:pPr>
            <w:r>
              <w:t>2,3·10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2" w:type="dxa"/>
            <w:vAlign w:val="center"/>
          </w:tcPr>
          <w:p w:rsidR="00106F2D" w:rsidRDefault="0063347E" w:rsidP="00106F2D">
            <w:pPr>
              <w:jc w:val="center"/>
            </w:pPr>
            <w:r>
              <w:t>1,0·10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2" w:type="dxa"/>
            <w:vAlign w:val="center"/>
          </w:tcPr>
          <w:p w:rsidR="00106F2D" w:rsidRPr="0063347E" w:rsidRDefault="0063347E" w:rsidP="00106F2D">
            <w:pPr>
              <w:jc w:val="center"/>
            </w:pPr>
            <w:r>
              <w:t>0,68·10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2" w:type="dxa"/>
            <w:vAlign w:val="center"/>
          </w:tcPr>
          <w:p w:rsidR="00106F2D" w:rsidRDefault="0063347E" w:rsidP="00106F2D">
            <w:pPr>
              <w:jc w:val="center"/>
            </w:pPr>
            <w:r>
              <w:t>0,32·10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2" w:type="dxa"/>
            <w:vAlign w:val="center"/>
          </w:tcPr>
          <w:p w:rsidR="00106F2D" w:rsidRDefault="0063347E" w:rsidP="00106F2D">
            <w:pPr>
              <w:jc w:val="center"/>
            </w:pPr>
            <w:r>
              <w:t>0,26·10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3" w:type="dxa"/>
            <w:vAlign w:val="center"/>
          </w:tcPr>
          <w:p w:rsidR="00106F2D" w:rsidRDefault="0063347E" w:rsidP="00106F2D">
            <w:pPr>
              <w:jc w:val="center"/>
            </w:pPr>
            <w:r>
              <w:t>0,12·10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23" w:type="dxa"/>
            <w:vAlign w:val="center"/>
          </w:tcPr>
          <w:p w:rsidR="00106F2D" w:rsidRDefault="0063347E" w:rsidP="00106F2D">
            <w:pPr>
              <w:jc w:val="center"/>
            </w:pPr>
            <w:r>
              <w:t>0,072·10</w:t>
            </w:r>
            <w:r>
              <w:rPr>
                <w:vertAlign w:val="superscript"/>
              </w:rPr>
              <w:t>-3</w:t>
            </w:r>
          </w:p>
        </w:tc>
      </w:tr>
    </w:tbl>
    <w:p w:rsidR="00106F2D" w:rsidRDefault="0048332C" w:rsidP="000F15F3">
      <w:pPr>
        <w:jc w:val="both"/>
        <w:rPr>
          <w:lang w:val="en-GB"/>
        </w:rPr>
      </w:pPr>
      <w:r w:rsidRPr="0048332C">
        <w:rPr>
          <w:lang w:val="en-GB"/>
        </w:rPr>
        <w:t>(</w:t>
      </w:r>
      <w:r w:rsidRPr="0048332C">
        <w:rPr>
          <w:sz w:val="20"/>
          <w:szCs w:val="20"/>
          <w:lang w:val="en-GB"/>
        </w:rPr>
        <w:t xml:space="preserve">Ref.: </w:t>
      </w:r>
      <w:r w:rsidR="00B13FB2">
        <w:fldChar w:fldCharType="begin"/>
      </w:r>
      <w:r w:rsidR="00B13FB2" w:rsidRPr="00B13FB2">
        <w:rPr>
          <w:lang w:val="en-US"/>
        </w:rPr>
        <w:instrText xml:space="preserve"> HYPERLINK "http://web2.airmail.net/uthman/elements_of_body.html" </w:instrText>
      </w:r>
      <w:r w:rsidR="00B13FB2">
        <w:fldChar w:fldCharType="separate"/>
      </w:r>
      <w:r w:rsidR="0012440E" w:rsidRPr="004826B8">
        <w:rPr>
          <w:rStyle w:val="Hyperlink"/>
          <w:sz w:val="20"/>
          <w:szCs w:val="20"/>
          <w:lang w:val="en-GB"/>
        </w:rPr>
        <w:t>http://web2.airmail.net/uthman/elements_of_body.html</w:t>
      </w:r>
      <w:r w:rsidR="00B13FB2">
        <w:rPr>
          <w:rStyle w:val="Hyperlink"/>
          <w:sz w:val="20"/>
          <w:szCs w:val="20"/>
          <w:lang w:val="en-GB"/>
        </w:rPr>
        <w:fldChar w:fldCharType="end"/>
      </w:r>
      <w:r w:rsidRPr="0048332C">
        <w:rPr>
          <w:lang w:val="en-GB"/>
        </w:rPr>
        <w:t>)</w:t>
      </w:r>
    </w:p>
    <w:p w:rsidR="0012440E" w:rsidRDefault="002C5077" w:rsidP="000F15F3">
      <w:pPr>
        <w:jc w:val="both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6019800" cy="6395085"/>
                <wp:effectExtent l="8890" t="13335" r="1016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39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9E" w:rsidRDefault="00237D9E" w:rsidP="001244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440E">
                              <w:rPr>
                                <w:sz w:val="32"/>
                                <w:szCs w:val="32"/>
                              </w:rPr>
                              <w:t>Magiske kerner</w:t>
                            </w:r>
                          </w:p>
                          <w:p w:rsidR="00237D9E" w:rsidRDefault="00237D9E" w:rsidP="0012440E">
                            <w:pPr>
                              <w:jc w:val="both"/>
                            </w:pPr>
                            <w:r>
                              <w:t xml:space="preserve">Fra kemi ved vi, at atomer med otte elektroner i den yderste skal er særligt stabile. For </w:t>
                            </w:r>
                            <w:proofErr w:type="spellStart"/>
                            <w:r>
                              <w:t>atom-kerner</w:t>
                            </w:r>
                            <w:proofErr w:type="spellEnd"/>
                            <w:r>
                              <w:t xml:space="preserve"> gælder noget tilsvarende. Det viser sig, at atomkerner, som </w:t>
                            </w:r>
                            <w:r w:rsidR="0080584D">
                              <w:t>indeholder 2, 8, 20, 28, 50, 82</w:t>
                            </w:r>
                            <w:r>
                              <w:t xml:space="preserve"> eller 126 </w:t>
                            </w:r>
                            <w:proofErr w:type="spellStart"/>
                            <w:r>
                              <w:t>protroner</w:t>
                            </w:r>
                            <w:proofErr w:type="spellEnd"/>
                            <w:r>
                              <w:t xml:space="preserve"> og/eller </w:t>
                            </w:r>
                            <w:proofErr w:type="spellStart"/>
                            <w:r>
                              <w:t>neutoner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56473D">
                              <w:rPr>
                                <w:i/>
                              </w:rPr>
                              <w:t>kan</w:t>
                            </w:r>
                            <w:r>
                              <w:t xml:space="preserve"> være særligt stabile. Denne serie af tal kaldes magiske kernetal. Hvis både antallet af neutroner og antallet af protoner i kernen er magiske tal, siges kernen at være dobbelt magisk. </w:t>
                            </w:r>
                          </w:p>
                          <w:p w:rsidR="00237D9E" w:rsidRDefault="00237D9E" w:rsidP="0012440E">
                            <w:pPr>
                              <w:jc w:val="both"/>
                            </w:pPr>
                            <w:r>
                              <w:t>Helium-4 isotopen (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He</m:t>
                                  </m:r>
                                </m:e>
                              </m:sPre>
                            </m:oMath>
                            <w:r>
                              <w:t xml:space="preserve">) er det simpleste eksempel på en dobbelt magisk kerne, idet den indeholder to protoner </w:t>
                            </w:r>
                            <w:r w:rsidRPr="0056473D">
                              <w:rPr>
                                <w:i/>
                              </w:rPr>
                              <w:t>og</w:t>
                            </w:r>
                            <w:r>
                              <w:t xml:space="preserve"> to neutroner, hvilket gør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He</m:t>
                                  </m:r>
                                </m:e>
                              </m:sPre>
                            </m:oMath>
                            <w:r>
                              <w:t xml:space="preserve"> til en exceptionel stabil atomkerne sammenlignet med andre atomkerner med et lavt massetal (se figuren).</w:t>
                            </w:r>
                          </w:p>
                          <w:p w:rsidR="00237D9E" w:rsidRDefault="00237D9E" w:rsidP="0012440E">
                            <w:pPr>
                              <w:jc w:val="both"/>
                            </w:pPr>
                            <w:r>
                              <w:t xml:space="preserve">Tin-132 isotopen er også dobbelt magisk, idet den indeholder 50 protoner og 82 neutroner, men den er </w:t>
                            </w:r>
                            <w:r w:rsidRPr="00191B9B">
                              <w:rPr>
                                <w:i/>
                              </w:rPr>
                              <w:t>ikke</w:t>
                            </w:r>
                            <w:r>
                              <w:t xml:space="preserve"> stabil, idet antallet af neutroner er for stort i forhold til antallet af protoner.</w:t>
                            </w:r>
                          </w:p>
                          <w:p w:rsidR="00237D9E" w:rsidRDefault="002C5077" w:rsidP="00191B9B">
                            <w:pPr>
                              <w:jc w:val="center"/>
                            </w:pPr>
                            <w:r w:rsidRPr="00191B9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5490" cy="3707130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5490" cy="370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D9E" w:rsidRPr="00FC61AB" w:rsidRDefault="00237D9E" w:rsidP="00191B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1AB">
                              <w:rPr>
                                <w:sz w:val="22"/>
                                <w:szCs w:val="22"/>
                              </w:rPr>
                              <w:t xml:space="preserve">Figuren viser bindingsenergien pr. </w:t>
                            </w:r>
                            <w:proofErr w:type="spellStart"/>
                            <w:r w:rsidRPr="00FC61AB">
                              <w:rPr>
                                <w:sz w:val="22"/>
                                <w:szCs w:val="22"/>
                              </w:rPr>
                              <w:t>nukleon</w:t>
                            </w:r>
                            <w:proofErr w:type="spellEnd"/>
                            <w:r w:rsidRPr="00FC61AB">
                              <w:rPr>
                                <w:sz w:val="22"/>
                                <w:szCs w:val="22"/>
                              </w:rPr>
                              <w:t xml:space="preserve"> som funktion af atomnummeret for udvalgte atomkerner. Jern og nikkel atomkernerne er de mest stabile, da bindingsenergien er høj</w:t>
                            </w:r>
                            <w:r w:rsidR="00A3434E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FC61AB">
                              <w:rPr>
                                <w:sz w:val="22"/>
                                <w:szCs w:val="22"/>
                              </w:rPr>
                              <w:t>st for disse kerner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pt;margin-top:0;width:474pt;height:5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PcLAIAAFEEAAAOAAAAZHJzL2Uyb0RvYy54bWysVNuO2yAQfa/Uf0C8N3bSJJt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">
                <v:textbox>
                  <w:txbxContent>
                    <w:p w:rsidR="00237D9E" w:rsidRDefault="00237D9E" w:rsidP="001244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440E">
                        <w:rPr>
                          <w:sz w:val="32"/>
                          <w:szCs w:val="32"/>
                        </w:rPr>
                        <w:t>Magiske kerner</w:t>
                      </w:r>
                    </w:p>
                    <w:p w:rsidR="00237D9E" w:rsidRDefault="00237D9E" w:rsidP="0012440E">
                      <w:pPr>
                        <w:jc w:val="both"/>
                      </w:pPr>
                      <w:r>
                        <w:t xml:space="preserve">Fra kemi ved vi, at atomer med otte elektroner i den yderste skal er særligt stabile. For </w:t>
                      </w:r>
                      <w:proofErr w:type="spellStart"/>
                      <w:r>
                        <w:t>atom-kerner</w:t>
                      </w:r>
                      <w:proofErr w:type="spellEnd"/>
                      <w:r>
                        <w:t xml:space="preserve"> gælder noget tilsvarende. Det viser sig, at atomkerner, som </w:t>
                      </w:r>
                      <w:r w:rsidR="0080584D">
                        <w:t>indeholder 2, 8, 20, 28, 50, 82</w:t>
                      </w:r>
                      <w:r>
                        <w:t xml:space="preserve"> eller 126 </w:t>
                      </w:r>
                      <w:proofErr w:type="spellStart"/>
                      <w:r>
                        <w:t>protroner</w:t>
                      </w:r>
                      <w:proofErr w:type="spellEnd"/>
                      <w:r>
                        <w:t xml:space="preserve"> og/eller </w:t>
                      </w:r>
                      <w:proofErr w:type="spellStart"/>
                      <w:r>
                        <w:t>neutoner</w:t>
                      </w:r>
                      <w:proofErr w:type="spellEnd"/>
                      <w:r>
                        <w:t xml:space="preserve"> </w:t>
                      </w:r>
                      <w:r w:rsidRPr="0056473D">
                        <w:rPr>
                          <w:i/>
                        </w:rPr>
                        <w:t>kan</w:t>
                      </w:r>
                      <w:r>
                        <w:t xml:space="preserve"> være særligt stabile. Denne serie af tal kaldes magiske kernetal. Hvis både antallet af neutroner og antallet af protoner i kernen er magiske tal, siges kernen at være dobbelt magisk. </w:t>
                      </w:r>
                    </w:p>
                    <w:p w:rsidR="00237D9E" w:rsidRDefault="00237D9E" w:rsidP="0012440E">
                      <w:pPr>
                        <w:jc w:val="both"/>
                      </w:pPr>
                      <w:r>
                        <w:t>Helium-4 isotopen (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He</m:t>
                            </m:r>
                          </m:e>
                        </m:sPre>
                      </m:oMath>
                      <w:r>
                        <w:t xml:space="preserve">) er det simpleste eksempel på en dobbelt magisk kerne, idet den indeholder to protoner </w:t>
                      </w:r>
                      <w:r w:rsidRPr="0056473D">
                        <w:rPr>
                          <w:i/>
                        </w:rPr>
                        <w:t>og</w:t>
                      </w:r>
                      <w:r>
                        <w:t xml:space="preserve"> to neutroner, hvilket gør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He</m:t>
                            </m:r>
                          </m:e>
                        </m:sPre>
                      </m:oMath>
                      <w:r>
                        <w:t xml:space="preserve"> til en exceptionel stabil atomkerne sammenlignet med andre atomkerner med et lavt massetal (se figuren).</w:t>
                      </w:r>
                    </w:p>
                    <w:p w:rsidR="00237D9E" w:rsidRDefault="00237D9E" w:rsidP="0012440E">
                      <w:pPr>
                        <w:jc w:val="both"/>
                      </w:pPr>
                      <w:r>
                        <w:t xml:space="preserve">Tin-132 isotopen er også dobbelt magisk, idet den indeholder 50 protoner og 82 neutroner, men den er </w:t>
                      </w:r>
                      <w:r w:rsidRPr="00191B9B">
                        <w:rPr>
                          <w:i/>
                        </w:rPr>
                        <w:t>ikke</w:t>
                      </w:r>
                      <w:r>
                        <w:t xml:space="preserve"> stabil, idet antallet af neutroner er for stort i forhold til antallet af protoner.</w:t>
                      </w:r>
                    </w:p>
                    <w:p w:rsidR="00237D9E" w:rsidRDefault="002C5077" w:rsidP="00191B9B">
                      <w:pPr>
                        <w:jc w:val="center"/>
                      </w:pPr>
                      <w:r w:rsidRPr="00191B9B">
                        <w:rPr>
                          <w:noProof/>
                        </w:rPr>
                        <w:drawing>
                          <wp:inline distT="0" distB="0" distL="0" distR="0">
                            <wp:extent cx="5825490" cy="3707130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5490" cy="370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D9E" w:rsidRPr="00FC61AB" w:rsidRDefault="00237D9E" w:rsidP="00191B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C61AB">
                        <w:rPr>
                          <w:sz w:val="22"/>
                          <w:szCs w:val="22"/>
                        </w:rPr>
                        <w:t xml:space="preserve">Figuren viser bindingsenergien pr. </w:t>
                      </w:r>
                      <w:proofErr w:type="spellStart"/>
                      <w:r w:rsidRPr="00FC61AB">
                        <w:rPr>
                          <w:sz w:val="22"/>
                          <w:szCs w:val="22"/>
                        </w:rPr>
                        <w:t>nukleon</w:t>
                      </w:r>
                      <w:proofErr w:type="spellEnd"/>
                      <w:r w:rsidRPr="00FC61AB">
                        <w:rPr>
                          <w:sz w:val="22"/>
                          <w:szCs w:val="22"/>
                        </w:rPr>
                        <w:t xml:space="preserve"> som funktion af atomnummeret for udvalgte atomkerner. Jern og nikkel atomkernerne er de mest stabile, da bindingsenergien er høj</w:t>
                      </w:r>
                      <w:r w:rsidR="00A3434E">
                        <w:rPr>
                          <w:sz w:val="22"/>
                          <w:szCs w:val="22"/>
                        </w:rPr>
                        <w:t>e</w:t>
                      </w:r>
                      <w:r w:rsidRPr="00FC61AB">
                        <w:rPr>
                          <w:sz w:val="22"/>
                          <w:szCs w:val="22"/>
                        </w:rPr>
                        <w:t>st for disse kerner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96000" cy="5143500"/>
                <wp:effectExtent l="0" t="3810" r="3810" b="0"/>
                <wp:docPr id="6" name="Lærre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6578EA7" id="Lærred 6" o:spid="_x0000_s1026" editas="canvas" style="width:480pt;height:405pt;mso-position-horizontal-relative:char;mso-position-vertical-relative:line" coordsize="60960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YeLGLbAAAABQEAAA8AAABkcnMv&#10;ZG93bnJldi54bWxMj09LxDAQxe+C3yGM4EXctP4ptTZdRBBE8OCuwh7TZmyqyaQ06W799o5e9DLM&#10;4w1vfq9eL96JPU5xCKQgX2UgkLpgBuoVvG4fzksQMWky2gVCBV8YYd0cH9W6MuFAL7jfpF5wCMVK&#10;K7ApjZWUsbPodVyFEYm99zB5nVhOvTSTPnC4d/Iiywrp9UD8weoR7y12n5vZK3jqirOPvJ13vnx+&#10;s5fXbveYtldKnZ4sd7cgEi7p7xh+8BkdGmZqw0wmCqeAi6Tfyd5NkbFsFZQ5L7Kp5X/65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mHixi2wAAAAUBAAAPAAAAAAAAAAAAAAAAAG4D&#10;AABkcnMvZG93bnJldi54bWxQSwUGAAAAAAQABADzAAAAdgQAAAAA&#10;">
                <v:shape id="_x0000_s1027" type="#_x0000_t75" style="position:absolute;width:60960;height:514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91B9B" w:rsidRDefault="00191B9B" w:rsidP="000F15F3">
      <w:pPr>
        <w:jc w:val="both"/>
        <w:rPr>
          <w:lang w:val="en-GB"/>
        </w:rPr>
      </w:pPr>
    </w:p>
    <w:p w:rsidR="00191B9B" w:rsidRDefault="00191B9B" w:rsidP="000F15F3">
      <w:pPr>
        <w:jc w:val="both"/>
        <w:rPr>
          <w:lang w:val="en-GB"/>
        </w:rPr>
      </w:pPr>
    </w:p>
    <w:p w:rsidR="00191B9B" w:rsidRDefault="00191B9B" w:rsidP="000F15F3">
      <w:pPr>
        <w:jc w:val="both"/>
        <w:rPr>
          <w:lang w:val="en-GB"/>
        </w:rPr>
      </w:pPr>
    </w:p>
    <w:p w:rsidR="00191B9B" w:rsidRDefault="00191B9B" w:rsidP="000F15F3">
      <w:pPr>
        <w:jc w:val="both"/>
        <w:rPr>
          <w:lang w:val="en-GB"/>
        </w:rPr>
      </w:pPr>
    </w:p>
    <w:p w:rsidR="00191B9B" w:rsidRDefault="00191B9B" w:rsidP="000F15F3">
      <w:pPr>
        <w:jc w:val="both"/>
        <w:rPr>
          <w:lang w:val="en-GB"/>
        </w:rPr>
      </w:pPr>
    </w:p>
    <w:p w:rsidR="00FC61AB" w:rsidRDefault="00FC61AB" w:rsidP="000F15F3">
      <w:pPr>
        <w:jc w:val="both"/>
        <w:rPr>
          <w:lang w:val="en-GB"/>
        </w:rPr>
      </w:pPr>
    </w:p>
    <w:p w:rsidR="00FC61AB" w:rsidRDefault="00FC61AB" w:rsidP="000F15F3">
      <w:pPr>
        <w:jc w:val="both"/>
        <w:rPr>
          <w:lang w:val="en-GB"/>
        </w:rPr>
      </w:pPr>
    </w:p>
    <w:p w:rsidR="00FC61AB" w:rsidRDefault="00FC61AB" w:rsidP="000F15F3">
      <w:pPr>
        <w:jc w:val="both"/>
        <w:rPr>
          <w:lang w:val="en-GB"/>
        </w:rPr>
      </w:pPr>
    </w:p>
    <w:p w:rsidR="00FC61AB" w:rsidRPr="0048332C" w:rsidRDefault="00FC61AB" w:rsidP="000F15F3">
      <w:pPr>
        <w:jc w:val="both"/>
        <w:rPr>
          <w:lang w:val="en-GB"/>
        </w:rPr>
      </w:pPr>
    </w:p>
    <w:p w:rsidR="000F15F3" w:rsidRDefault="00EA73CA">
      <w:pPr>
        <w:numPr>
          <w:ilvl w:val="0"/>
          <w:numId w:val="2"/>
        </w:numPr>
        <w:jc w:val="both"/>
      </w:pPr>
      <w:r>
        <w:t>Find de øvrige</w:t>
      </w:r>
      <w:r w:rsidR="00FC61AB" w:rsidRPr="00FC61AB">
        <w:t xml:space="preserve"> fire stabile dobbelt magiske</w:t>
      </w:r>
      <w:r w:rsidR="00FC61AB">
        <w:t xml:space="preserve"> atomkerner</w:t>
      </w:r>
      <w:r w:rsidR="002D3850">
        <w:t xml:space="preserve"> ud over helium-4</w:t>
      </w:r>
      <w:r w:rsidR="00FC61AB">
        <w:t>.</w:t>
      </w:r>
    </w:p>
    <w:p w:rsidR="003F73BB" w:rsidRDefault="003F73BB" w:rsidP="003F73BB">
      <w:pPr>
        <w:jc w:val="both"/>
      </w:pPr>
    </w:p>
    <w:p w:rsidR="003F73BB" w:rsidRDefault="003F73BB" w:rsidP="00A55671">
      <w:pPr>
        <w:numPr>
          <w:ilvl w:val="0"/>
          <w:numId w:val="2"/>
        </w:numPr>
        <w:jc w:val="both"/>
      </w:pPr>
      <w:r>
        <w:t>Undersøg</w:t>
      </w:r>
      <w:r w:rsidR="002A4AFD">
        <w:t>,</w:t>
      </w:r>
      <w:r>
        <w:t xml:space="preserve"> hvilken atomkerne der faktisk er den mest stabile. Du kan for eksempel</w:t>
      </w:r>
      <w:r w:rsidR="002A4AFD">
        <w:t xml:space="preserve"> bruge</w:t>
      </w:r>
      <w:r>
        <w:t xml:space="preserve">: </w:t>
      </w:r>
      <w:r w:rsidR="00A55671">
        <w:t xml:space="preserve"> </w:t>
      </w:r>
      <w:hyperlink r:id="rId11" w:history="1">
        <w:r w:rsidR="00A55671" w:rsidRPr="0070313D">
          <w:rPr>
            <w:rStyle w:val="Hyperlink"/>
          </w:rPr>
          <w:t>http://www.einstein-online.info/spotlights/binding_energy.html</w:t>
        </w:r>
      </w:hyperlink>
      <w:r w:rsidR="00A55671">
        <w:t xml:space="preserve"> </w:t>
      </w:r>
      <w:r w:rsidR="002A4AFD">
        <w:t>eller en databog.</w:t>
      </w:r>
    </w:p>
    <w:p w:rsidR="003F73BB" w:rsidRDefault="003F73BB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2A4AFD" w:rsidP="003F73BB">
      <w:pPr>
        <w:jc w:val="both"/>
      </w:pPr>
    </w:p>
    <w:p w:rsidR="002A4AFD" w:rsidRDefault="003F73BB" w:rsidP="002A4AFD">
      <w:pPr>
        <w:numPr>
          <w:ilvl w:val="0"/>
          <w:numId w:val="2"/>
        </w:numPr>
        <w:jc w:val="both"/>
      </w:pPr>
      <w:r>
        <w:t xml:space="preserve">Tabellen herunder viser bindingsenergierne for en række ilt isotoper. Den kan vi bruge til at undersøge, hvor meget mere stabil ilt-16 </w:t>
      </w:r>
      <w:proofErr w:type="spellStart"/>
      <w:r>
        <w:t>iostopen</w:t>
      </w:r>
      <w:proofErr w:type="spellEnd"/>
      <w:r>
        <w:t xml:space="preserve"> er end forventet, fordi det er en dobbelt magisk kerne. Afsæt punkterne i et koordinatsystem med </w:t>
      </w:r>
      <w:proofErr w:type="spellStart"/>
      <w:r>
        <w:t>nukleontallet</w:t>
      </w:r>
      <w:proofErr w:type="spellEnd"/>
      <w:r>
        <w:t xml:space="preserve"> ud ad 1. aksen og bindingsenergien pr. </w:t>
      </w:r>
      <w:proofErr w:type="spellStart"/>
      <w:r>
        <w:t>nukleon</w:t>
      </w:r>
      <w:proofErr w:type="spellEnd"/>
      <w:r>
        <w:t xml:space="preserve"> op ad 2. aksen</w:t>
      </w:r>
      <w:r w:rsidR="002A4AFD">
        <w:t>.</w:t>
      </w:r>
    </w:p>
    <w:p w:rsidR="003F73BB" w:rsidRDefault="002A4AFD" w:rsidP="002D3850">
      <w:pPr>
        <w:ind w:left="360" w:hanging="360"/>
        <w:jc w:val="both"/>
      </w:pPr>
      <w:r>
        <w:t xml:space="preserve">      Bemærk, </w:t>
      </w:r>
      <w:r w:rsidR="00E64F0C">
        <w:t>at ilt isotoper med et ulige antal neutroner generelt har lidt lavere bindingsenergier end ilt isotoper med et lige antal neutroner. (Dette gælder helt g</w:t>
      </w:r>
      <w:r w:rsidR="002D3850">
        <w:t>enerelt for atomkerner.) Lægges en blød kurve mellem isotoperne 12, 14, 18, 20 og 22 ser man at ilt-16 ligger over denne bløde kurve. Den ekstra bindingsenergi ilt-16 har i forhold til denne kurve skyldes, at den er dobbelt magisk. Den bløde kurve kan findes ved at fitte et 4. grads polynomium til ovennævnte fem ilt</w:t>
      </w:r>
      <w:r w:rsidR="00F1362B">
        <w:t xml:space="preserve"> </w:t>
      </w:r>
      <w:r w:rsidR="002D3850">
        <w:t>isotoper. Find forskriften for 4. grads polynomiet (sørg for at få tilstrækkeligt med betydende cifre med!) og beregn den forventede bindingsenergi for ilt-16 ud fra denne forskrift.</w:t>
      </w:r>
      <w:r w:rsidR="00F1362B">
        <w:t xml:space="preserve"> Beregn </w:t>
      </w:r>
      <w:proofErr w:type="gramStart"/>
      <w:r w:rsidR="00F1362B">
        <w:t>derpå</w:t>
      </w:r>
      <w:proofErr w:type="gramEnd"/>
      <w:r w:rsidR="00F1362B">
        <w:t xml:space="preserve"> forskellen mellem den reelle bindingsenergi og den forventede bindingsenergi for ilt-16.</w:t>
      </w:r>
      <w:r w:rsidR="002D3850">
        <w:t xml:space="preserve"> </w:t>
      </w:r>
    </w:p>
    <w:tbl>
      <w:tblPr>
        <w:tblStyle w:val="TableGrid"/>
        <w:tblpPr w:leftFromText="141" w:rightFromText="141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1005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F73BB" w:rsidTr="003F73BB">
        <w:trPr>
          <w:trHeight w:val="425"/>
        </w:trPr>
        <w:tc>
          <w:tcPr>
            <w:tcW w:w="1018" w:type="dxa"/>
            <w:vAlign w:val="center"/>
          </w:tcPr>
          <w:p w:rsidR="003F73BB" w:rsidRDefault="003F73BB" w:rsidP="003F73BB">
            <w:pPr>
              <w:jc w:val="center"/>
            </w:pPr>
            <w:r>
              <w:t>Ilt isotop</w:t>
            </w:r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12</w:t>
            </w:r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13</w:t>
            </w:r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14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15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16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17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18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19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20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21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22</w:t>
            </w:r>
          </w:p>
        </w:tc>
      </w:tr>
      <w:tr w:rsidR="003F73BB" w:rsidTr="003F73BB">
        <w:trPr>
          <w:trHeight w:val="425"/>
        </w:trPr>
        <w:tc>
          <w:tcPr>
            <w:tcW w:w="1018" w:type="dxa"/>
            <w:vAlign w:val="center"/>
          </w:tcPr>
          <w:p w:rsidR="003F73BB" w:rsidRPr="00B22B50" w:rsidRDefault="003F73BB" w:rsidP="003F73BB">
            <w:proofErr w:type="spellStart"/>
            <w:r>
              <w:t>E</w:t>
            </w:r>
            <w:r>
              <w:rPr>
                <w:vertAlign w:val="subscript"/>
              </w:rPr>
              <w:t>bind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pr. </w:t>
            </w:r>
            <w:proofErr w:type="spellStart"/>
            <w:r>
              <w:t>nukleon</w:t>
            </w:r>
            <w:proofErr w:type="spellEnd"/>
            <w:r>
              <w:t xml:space="preserve"> i </w:t>
            </w:r>
            <w:proofErr w:type="spellStart"/>
            <w:r>
              <w:t>MeV</w:t>
            </w:r>
            <w:proofErr w:type="spellEnd"/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4,879</w:t>
            </w:r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5,812</w:t>
            </w:r>
          </w:p>
        </w:tc>
        <w:tc>
          <w:tcPr>
            <w:tcW w:w="804" w:type="dxa"/>
            <w:vAlign w:val="center"/>
          </w:tcPr>
          <w:p w:rsidR="003F73BB" w:rsidRDefault="003F73BB" w:rsidP="003F73BB">
            <w:r>
              <w:t>7,052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7,464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7,976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7,751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7,767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7,566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7,569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7,389</w:t>
            </w:r>
          </w:p>
        </w:tc>
        <w:tc>
          <w:tcPr>
            <w:tcW w:w="803" w:type="dxa"/>
            <w:vAlign w:val="center"/>
          </w:tcPr>
          <w:p w:rsidR="003F73BB" w:rsidRDefault="003F73BB" w:rsidP="003F73BB">
            <w:r>
              <w:t>7,365</w:t>
            </w:r>
          </w:p>
        </w:tc>
      </w:tr>
    </w:tbl>
    <w:p w:rsidR="003F73BB" w:rsidRDefault="003F73BB" w:rsidP="003F73BB">
      <w:pPr>
        <w:jc w:val="both"/>
      </w:pPr>
      <w:r>
        <w:t xml:space="preserve">      </w:t>
      </w:r>
    </w:p>
    <w:p w:rsidR="003F73BB" w:rsidRDefault="005820E8" w:rsidP="003F73BB">
      <w:pPr>
        <w:jc w:val="both"/>
      </w:pPr>
      <w:r>
        <w:t>I de følgende spørgsmål tages</w:t>
      </w:r>
      <w:r w:rsidR="002D23A2">
        <w:t xml:space="preserve"> udgangspunkt i tabellen over stjerners forbrændingsstadier.</w:t>
      </w:r>
    </w:p>
    <w:p w:rsidR="003F73BB" w:rsidRDefault="002D23A2" w:rsidP="002D3850">
      <w:pPr>
        <w:numPr>
          <w:ilvl w:val="0"/>
          <w:numId w:val="2"/>
        </w:numPr>
        <w:jc w:val="both"/>
      </w:pPr>
      <w:r>
        <w:t xml:space="preserve">Den første vigtige fusionsproces efter fusion af brint, er den såkaldte </w:t>
      </w:r>
      <w:proofErr w:type="spellStart"/>
      <w:r w:rsidR="0023565B">
        <w:t>tripel</w:t>
      </w:r>
      <w:proofErr w:type="spellEnd"/>
      <w:r>
        <w:t>-alfa pro</w:t>
      </w:r>
      <w:r w:rsidR="001F67E4">
        <w:t>ces, hvor tre helium</w:t>
      </w:r>
      <w:r>
        <w:t xml:space="preserve">-4 kerner fusionerer til </w:t>
      </w:r>
      <w:r w:rsidR="00255CBA">
        <w:t>kulstof</w:t>
      </w:r>
      <w:r>
        <w:t>-12. Opskri</w:t>
      </w:r>
      <w:r w:rsidR="001F67E4">
        <w:t>v fusionsreaktionen mellem to helium</w:t>
      </w:r>
      <w:r>
        <w:t xml:space="preserve">-4 kerner og forklar hvorfor denne reaktion ikke sker. I forbindelse med </w:t>
      </w:r>
      <w:proofErr w:type="spellStart"/>
      <w:r w:rsidR="0023565B">
        <w:t>tripel</w:t>
      </w:r>
      <w:proofErr w:type="spellEnd"/>
      <w:r>
        <w:t xml:space="preserve">-alfa processen sker der yderligere en reaktion, hvor ilt-16 dannes. Den står lidt kryptisk skrevet som </w:t>
      </w:r>
      <w:smartTag w:uri="urn:schemas-microsoft-com:office:smarttags" w:element="metricconverter">
        <w:smartTagPr>
          <w:attr w:name="ProductID" w:val="12C"/>
        </w:smartTagPr>
        <w:r>
          <w:rPr>
            <w:vertAlign w:val="superscript"/>
          </w:rPr>
          <w:t>12</w:t>
        </w:r>
        <w:r>
          <w:t>C</w:t>
        </w:r>
      </w:smartTag>
      <w:r>
        <w:t>(</w:t>
      </w:r>
      <w:proofErr w:type="gramStart"/>
      <w:r>
        <w:t>α,γ</w:t>
      </w:r>
      <w:proofErr w:type="gramEnd"/>
      <w:r>
        <w:t>)</w:t>
      </w:r>
      <w:r>
        <w:rPr>
          <w:vertAlign w:val="superscript"/>
        </w:rPr>
        <w:t>16</w:t>
      </w:r>
      <w:r>
        <w:t>O, hvilket betyder</w:t>
      </w:r>
      <w:r w:rsidR="00D86BFD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C+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He</m:t>
                </m:r>
                <m:r>
                  <w:rPr>
                    <w:rFonts w:ascii="Cambria Math" w:hAnsi="Cambria Math"/>
                  </w:rPr>
                  <m:t xml:space="preserve"> ⟶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sPre>
              </m:e>
            </m:sPre>
          </m:e>
        </m:sPre>
        <m:r>
          <w:rPr>
            <w:rFonts w:ascii="Cambria Math" w:hAnsi="Cambria Math"/>
          </w:rPr>
          <m:t>+</m:t>
        </m:r>
        <m:r>
          <m:rPr>
            <m:nor/>
          </m:rPr>
          <w:rPr>
            <w:rFonts w:ascii="Cambria Math" w:hAnsi="Cambria Math"/>
          </w:rPr>
          <m:t>γ</m:t>
        </m:r>
      </m:oMath>
      <w:r w:rsidR="00207496">
        <w:t>.</w:t>
      </w:r>
    </w:p>
    <w:p w:rsidR="00393DF6" w:rsidRDefault="00393DF6" w:rsidP="00393DF6">
      <w:pPr>
        <w:jc w:val="both"/>
      </w:pPr>
    </w:p>
    <w:p w:rsidR="002D23A2" w:rsidRDefault="005820E8" w:rsidP="002D3850">
      <w:pPr>
        <w:numPr>
          <w:ilvl w:val="0"/>
          <w:numId w:val="2"/>
        </w:numPr>
        <w:jc w:val="both"/>
      </w:pPr>
      <w:r>
        <w:t>Den anden</w:t>
      </w:r>
      <w:r w:rsidR="006C037D">
        <w:t xml:space="preserve"> vigtige proces er fusionen af to </w:t>
      </w:r>
      <w:r w:rsidR="00255CBA">
        <w:t>kulstof</w:t>
      </w:r>
      <w:r w:rsidR="006C037D">
        <w:t>-12 kerner, hvor der er muligh</w:t>
      </w:r>
      <w:r>
        <w:t xml:space="preserve">ed for at få en række forskellige </w:t>
      </w:r>
      <w:r w:rsidR="006C037D">
        <w:t>produkter.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⟶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 xml:space="preserve">  γ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</m:e>
                    <m:e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sPre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    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e>
                          <m:e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p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</m:sPre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    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+</m:t>
                            </m:r>
                          </m:e>
                          <m:e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He</m:t>
                                </m:r>
                              </m:e>
                            </m:sPre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PrePr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sup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e>
                            </m:sPre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  +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He</m:t>
                                </m:r>
                              </m:e>
                            </m:sPre>
                          </m:e>
                        </m:mr>
                      </m:m>
                    </m:e>
                  </m:mr>
                </m:m>
              </m:e>
            </m:eqArr>
          </m:e>
        </m:d>
      </m:oMath>
      <w:r>
        <w:t>. Fuldfør reaktionerne.</w:t>
      </w:r>
    </w:p>
    <w:p w:rsidR="001E3D23" w:rsidRDefault="001E3D23" w:rsidP="001E3D23">
      <w:pPr>
        <w:jc w:val="both"/>
      </w:pPr>
    </w:p>
    <w:p w:rsidR="001E3D23" w:rsidRDefault="001E3D23" w:rsidP="001E3D23">
      <w:pPr>
        <w:jc w:val="both"/>
      </w:pPr>
    </w:p>
    <w:p w:rsidR="005820E8" w:rsidRDefault="005820E8" w:rsidP="002D3850">
      <w:pPr>
        <w:numPr>
          <w:ilvl w:val="0"/>
          <w:numId w:val="2"/>
        </w:numPr>
        <w:jc w:val="both"/>
      </w:pPr>
      <w:r>
        <w:t>Den tredje</w:t>
      </w:r>
      <w:r w:rsidR="009F3273">
        <w:t xml:space="preserve"> vigtige proces, som danner endnu tungere kerner er fusionen af to ilt-16 kerner. Også her dannes en række forskellige produkter. Opskriv de mulige reaktioner idet biprodukterne er nøjagtig de samme som ved </w:t>
      </w:r>
      <w:r w:rsidR="00255CBA">
        <w:t>kulstof</w:t>
      </w:r>
      <w:r w:rsidR="009F3273">
        <w:t xml:space="preserve"> reaktionen, altså γ, </w:t>
      </w:r>
      <w:r w:rsidR="00935EF6" w:rsidRPr="009F3273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12" o:title=""/>
          </v:shape>
          <o:OLEObject Type="Embed" ProgID="Equation.3" ShapeID="_x0000_i1025" DrawAspect="Content" ObjectID="_1588675096" r:id="rId13"/>
        </w:object>
      </w:r>
      <w:r w:rsidR="009F3273">
        <w:t>og så videre.</w:t>
      </w:r>
    </w:p>
    <w:p w:rsidR="001E3D23" w:rsidRDefault="001E3D23" w:rsidP="001E3D23">
      <w:pPr>
        <w:jc w:val="both"/>
      </w:pPr>
    </w:p>
    <w:p w:rsidR="001E3D23" w:rsidRDefault="00393DF6" w:rsidP="002D3850">
      <w:pPr>
        <w:numPr>
          <w:ilvl w:val="0"/>
          <w:numId w:val="2"/>
        </w:numPr>
        <w:jc w:val="both"/>
      </w:pPr>
      <w:r>
        <w:t>Den sidste vigtige række af reaktioner, der leder frem til dannelsen af jern og nikkel, starter med følgende reaktion</w:t>
      </w:r>
      <w:r w:rsidR="00207496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14</m:t>
                </m:r>
              </m:sub>
              <m:sup>
                <m:r>
                  <w:rPr>
                    <w:rFonts w:ascii="Cambria Math" w:hAnsi="Cambria Math"/>
                  </w:rPr>
                  <m:t>28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Si</m:t>
                </m:r>
              </m:e>
            </m:sPre>
            <m:r>
              <w:rPr>
                <w:rFonts w:ascii="Cambria Math" w:hAnsi="Cambria Math"/>
              </w:rPr>
              <m:t>+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He</m:t>
                </m:r>
              </m:e>
            </m:sPr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⟵     </m:t>
                </m:r>
              </m:e>
            </m:groupChr>
            <m:r>
              <w:rPr>
                <w:rFonts w:ascii="Cambria Math" w:hAnsi="Cambria Math"/>
              </w:rPr>
              <m:t xml:space="preserve">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16</m:t>
                </m:r>
              </m:sub>
              <m:sup>
                <m:r>
                  <w:rPr>
                    <w:rFonts w:ascii="Cambria Math" w:hAnsi="Cambria Math"/>
                  </w:rPr>
                  <m:t>32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S</m:t>
                </m:r>
              </m:e>
            </m:sPre>
          </m:e>
        </m:box>
        <m:r>
          <w:rPr>
            <w:rFonts w:ascii="Cambria Math" w:hAnsi="Cambria Math"/>
          </w:rPr>
          <m:t>+</m:t>
        </m:r>
        <m:r>
          <m:rPr>
            <m:nor/>
          </m:rPr>
          <w:rPr>
            <w:rFonts w:ascii="Cambria Math" w:hAnsi="Cambria Math"/>
          </w:rPr>
          <m:t>γ</m:t>
        </m:r>
      </m:oMath>
      <w:r>
        <w:t xml:space="preserve"> </w:t>
      </w:r>
      <w:r w:rsidR="001E3D23">
        <w:t xml:space="preserve"> - i kompakt form skrives reaktionen </w:t>
      </w:r>
      <w:r w:rsidR="001E3D23">
        <w:rPr>
          <w:vertAlign w:val="superscript"/>
        </w:rPr>
        <w:t>28</w:t>
      </w:r>
      <w:r w:rsidR="001E3D23">
        <w:t>Si(α,γ)</w:t>
      </w:r>
      <w:r w:rsidR="001E3D23">
        <w:rPr>
          <w:vertAlign w:val="superscript"/>
        </w:rPr>
        <w:t>32</w:t>
      </w:r>
      <w:r w:rsidR="001E3D23">
        <w:t>S.</w:t>
      </w:r>
      <w:r w:rsidR="006369A2">
        <w:t xml:space="preserve"> Bemærk, at reaktionen går begge veje men er forskudt mod højre.</w:t>
      </w:r>
      <w:r w:rsidR="00877358">
        <w:t xml:space="preserve"> Svovl-32 kan på samme måde som silicium-28 fusionere med en helium-4 kerne</w:t>
      </w:r>
      <w:r w:rsidR="001E3D23">
        <w:t xml:space="preserve"> (α-partikel)</w:t>
      </w:r>
      <w:r w:rsidR="00877358">
        <w:t xml:space="preserve"> og danne en argon-36 kerne samt en gammafoton.</w:t>
      </w:r>
      <w:r w:rsidR="006369A2">
        <w:t xml:space="preserve"> Reaktionen mod venstre sikre</w:t>
      </w:r>
      <w:r w:rsidR="00877358">
        <w:t>r</w:t>
      </w:r>
      <w:r w:rsidR="00607AFF">
        <w:t xml:space="preserve"> en fortsat tilstedeværelse af h</w:t>
      </w:r>
      <w:r w:rsidR="00877358">
        <w:t>elium-4 kerner, som kan fusionere med nye tungere atomkerner.</w:t>
      </w:r>
      <w:r w:rsidR="001E3D23">
        <w:t xml:space="preserve"> Færdiggør reaktionskæden op til nikkel-56 skrevet i </w:t>
      </w:r>
      <w:r w:rsidR="001E3D23">
        <w:lastRenderedPageBreak/>
        <w:t xml:space="preserve">kompakt form: </w:t>
      </w:r>
      <w:r w:rsidR="001E3D23">
        <w:rPr>
          <w:vertAlign w:val="superscript"/>
        </w:rPr>
        <w:t>28</w:t>
      </w:r>
      <w:r w:rsidR="001E3D23">
        <w:t>Si(α,γ)</w:t>
      </w:r>
      <w:r w:rsidR="001E3D23">
        <w:rPr>
          <w:vertAlign w:val="superscript"/>
        </w:rPr>
        <w:t>32</w:t>
      </w:r>
      <w:r w:rsidR="001E3D23">
        <w:t>S(α,γ)</w:t>
      </w:r>
      <w:r w:rsidR="001E3D23">
        <w:rPr>
          <w:vertAlign w:val="superscript"/>
        </w:rPr>
        <w:t>36</w:t>
      </w:r>
      <w:r w:rsidR="001E3D23">
        <w:t>Ar(α,γ)…     …(α,γ)</w:t>
      </w:r>
      <w:r w:rsidR="001E3D23">
        <w:rPr>
          <w:vertAlign w:val="superscript"/>
        </w:rPr>
        <w:t>56</w:t>
      </w:r>
      <w:r w:rsidR="001E3D23">
        <w:t>Ni.</w:t>
      </w:r>
      <w:r w:rsidR="00D7632F">
        <w:t xml:space="preserve"> Hvor lang tid er stjernen om at færdiggøre disse reaktioner</w:t>
      </w:r>
      <w:r w:rsidR="00EA73CA">
        <w:t xml:space="preserve"> (se artiklen)</w:t>
      </w:r>
      <w:r w:rsidR="00D7632F">
        <w:t>?</w:t>
      </w:r>
    </w:p>
    <w:p w:rsidR="001E3D23" w:rsidRDefault="001E3D23" w:rsidP="001E3D23">
      <w:pPr>
        <w:jc w:val="both"/>
      </w:pPr>
    </w:p>
    <w:p w:rsidR="00935EF6" w:rsidRDefault="001E3D23" w:rsidP="002D3850">
      <w:pPr>
        <w:numPr>
          <w:ilvl w:val="0"/>
          <w:numId w:val="2"/>
        </w:numPr>
        <w:jc w:val="both"/>
      </w:pPr>
      <w:r>
        <w:t>Ud over denne kæde af processer sker de</w:t>
      </w:r>
      <w:r w:rsidR="002F2A5A">
        <w:t>r også reaktioner med løsslåede</w:t>
      </w:r>
      <w:r>
        <w:t xml:space="preserve"> protoner og neutroner</w:t>
      </w:r>
      <w:r w:rsidR="002F2A5A">
        <w:t xml:space="preserve">, ligesom eventuelle </w:t>
      </w:r>
      <w:r w:rsidR="00D7632F">
        <w:t>radioaktive</w:t>
      </w:r>
      <w:r w:rsidR="002F2A5A">
        <w:t xml:space="preserve"> kerner</w:t>
      </w:r>
      <w:r w:rsidR="00D7632F">
        <w:t>, der</w:t>
      </w:r>
      <w:r w:rsidR="002F2A5A">
        <w:t xml:space="preserve"> dannes, kan henfalde. Undersøg</w:t>
      </w:r>
      <w:r w:rsidR="00D7632F">
        <w:t>,</w:t>
      </w:r>
      <w:r w:rsidR="002F2A5A">
        <w:t xml:space="preserve"> hvilke af de </w:t>
      </w:r>
      <w:r w:rsidR="00D7632F">
        <w:t xml:space="preserve">i denne kæde dannede atomkerner, der er radioaktive. </w:t>
      </w:r>
    </w:p>
    <w:p w:rsidR="00D7632F" w:rsidRDefault="00D7632F" w:rsidP="00D7632F">
      <w:pPr>
        <w:ind w:left="360" w:hanging="360"/>
        <w:jc w:val="both"/>
      </w:pPr>
      <w:r>
        <w:tab/>
      </w:r>
      <w:r w:rsidR="00E81967">
        <w:t>(</w:t>
      </w:r>
      <w:r>
        <w:t>Den præcise sammensætning a</w:t>
      </w:r>
      <w:r w:rsidR="00E81967">
        <w:t>f grundstoffer i stjernens centrale dele</w:t>
      </w:r>
      <w:r>
        <w:t xml:space="preserve"> afhænger både af temperaturen og den tid, der er til rådighed</w:t>
      </w:r>
      <w:r w:rsidR="00E81967">
        <w:t>. I praksis viser det sig ved</w:t>
      </w:r>
      <w:r w:rsidR="007B0A3C">
        <w:t>,</w:t>
      </w:r>
      <w:r w:rsidR="00E81967">
        <w:t xml:space="preserve"> at der primært dannes jern og ikke nikkel i stjernens centrale dele, mens der omkring jernkernen er en skallignende struk</w:t>
      </w:r>
      <w:r w:rsidR="00607AFF">
        <w:t>tur af forskellige grundstoffer</w:t>
      </w:r>
      <w:r w:rsidR="00E81967">
        <w:t xml:space="preserve"> som vist på en figur i artiklen.)</w:t>
      </w:r>
    </w:p>
    <w:p w:rsidR="001E3D23" w:rsidRDefault="001E3D23" w:rsidP="001E3D23">
      <w:pPr>
        <w:jc w:val="both"/>
      </w:pPr>
    </w:p>
    <w:p w:rsidR="001E3D23" w:rsidRDefault="00E81967" w:rsidP="002D3850">
      <w:pPr>
        <w:numPr>
          <w:ilvl w:val="0"/>
          <w:numId w:val="2"/>
        </w:numPr>
        <w:jc w:val="both"/>
      </w:pPr>
      <w:r>
        <w:t>Forklar forskellen mellem r-processen og s-processen i dannelsen af grundstoffer tungere end jern og nikkel.</w:t>
      </w:r>
    </w:p>
    <w:p w:rsidR="008544A8" w:rsidRDefault="008544A8" w:rsidP="008544A8">
      <w:pPr>
        <w:jc w:val="both"/>
      </w:pPr>
    </w:p>
    <w:p w:rsidR="00E81967" w:rsidRDefault="00E81967" w:rsidP="002D3850">
      <w:pPr>
        <w:numPr>
          <w:ilvl w:val="0"/>
          <w:numId w:val="2"/>
        </w:numPr>
        <w:jc w:val="both"/>
      </w:pPr>
      <w:r>
        <w:t xml:space="preserve">Tag udgangspunkt i bly-208 samt et kernekort og vis at </w:t>
      </w:r>
      <w:r w:rsidR="00BD65F8">
        <w:t>s-processen</w:t>
      </w:r>
      <w:r w:rsidR="00BB3C87">
        <w:t xml:space="preserve"> er i stand til at danne</w:t>
      </w:r>
      <w:r w:rsidR="008544A8">
        <w:t xml:space="preserve"> </w:t>
      </w:r>
      <w:proofErr w:type="spellStart"/>
      <w:r w:rsidR="00BD65F8">
        <w:t>bismuth</w:t>
      </w:r>
      <w:proofErr w:type="spellEnd"/>
      <w:r w:rsidR="00BD65F8">
        <w:t xml:space="preserve"> men </w:t>
      </w:r>
      <w:r w:rsidR="00BD65F8" w:rsidRPr="00BD65F8">
        <w:rPr>
          <w:i/>
        </w:rPr>
        <w:t>ikke</w:t>
      </w:r>
      <w:r w:rsidR="00BD65F8">
        <w:t xml:space="preserve"> tungere grundstoffer som </w:t>
      </w:r>
      <w:r w:rsidR="008544A8" w:rsidRPr="00BD65F8">
        <w:t>thorium</w:t>
      </w:r>
      <w:r w:rsidR="008544A8">
        <w:t xml:space="preserve"> og uran.</w:t>
      </w:r>
    </w:p>
    <w:p w:rsidR="00E81967" w:rsidRDefault="00E81967" w:rsidP="00E81967">
      <w:pPr>
        <w:jc w:val="both"/>
      </w:pPr>
    </w:p>
    <w:p w:rsidR="003F73BB" w:rsidRDefault="00BD65F8" w:rsidP="00BD65F8">
      <w:pPr>
        <w:numPr>
          <w:ilvl w:val="0"/>
          <w:numId w:val="2"/>
        </w:numPr>
        <w:jc w:val="both"/>
      </w:pPr>
      <w:r>
        <w:t>Tag på tilsvarende vis udgangspunkt i jern-52 og vis at s-processe</w:t>
      </w:r>
      <w:r w:rsidR="00457220">
        <w:t>n godt kan danne stabile jern og</w:t>
      </w:r>
      <w:r>
        <w:t xml:space="preserve"> nikkel isotoper.</w:t>
      </w:r>
    </w:p>
    <w:p w:rsidR="0077367E" w:rsidRDefault="0077367E" w:rsidP="0077367E">
      <w:pPr>
        <w:pStyle w:val="Minoverskrift2"/>
        <w:jc w:val="both"/>
      </w:pPr>
      <w:r>
        <w:t>Perspektiverende opgaver og spørgsmål</w:t>
      </w:r>
    </w:p>
    <w:p w:rsidR="0077367E" w:rsidRDefault="0077367E" w:rsidP="0077367E">
      <w:pPr>
        <w:jc w:val="both"/>
        <w:rPr>
          <w:lang w:val="en-GB"/>
        </w:rPr>
      </w:pPr>
    </w:p>
    <w:p w:rsidR="002352A2" w:rsidRDefault="00457220" w:rsidP="002352A2">
      <w:pPr>
        <w:numPr>
          <w:ilvl w:val="0"/>
          <w:numId w:val="2"/>
        </w:numPr>
        <w:jc w:val="both"/>
      </w:pPr>
      <w:r w:rsidRPr="00457220">
        <w:t xml:space="preserve">Tabellen herunder viser de mineraler, som kan anvendes til kosttilskud og kun </w:t>
      </w:r>
      <w:r w:rsidR="002352A2">
        <w:t>i</w:t>
      </w:r>
      <w:r w:rsidRPr="00457220">
        <w:t xml:space="preserve"> de mængder, der ligger inden for grænseværdierne</w:t>
      </w:r>
      <w:r>
        <w:t>.</w:t>
      </w:r>
    </w:p>
    <w:p w:rsidR="00457220" w:rsidRDefault="00457220" w:rsidP="00457220">
      <w:pPr>
        <w:ind w:left="360" w:hanging="360"/>
        <w:jc w:val="both"/>
      </w:pPr>
      <w:r>
        <w:tab/>
      </w:r>
      <w:r w:rsidR="002352A2">
        <w:t>Hvilke af disse grundstoffer har atomnummer over 28 og er dermed kun dannet under særlige omstændigheder</w:t>
      </w:r>
      <w:r w:rsidR="00EA331E">
        <w:t xml:space="preserve"> i universet</w:t>
      </w:r>
      <w:r w:rsidR="002352A2">
        <w:t xml:space="preserve">? </w:t>
      </w:r>
      <w:r>
        <w:t>Undersøg</w:t>
      </w:r>
      <w:r w:rsidR="002352A2">
        <w:t>, hvilken betydning nogle af disse grundstoffer har for kroppen og diskut</w:t>
      </w:r>
      <w:r w:rsidR="009A57A0">
        <w:t xml:space="preserve">er om de eventuelt kan undværes, se fx </w:t>
      </w:r>
      <w:hyperlink r:id="rId14" w:history="1">
        <w:r w:rsidR="007B0A3C" w:rsidRPr="0070313D">
          <w:rPr>
            <w:rStyle w:val="Hyperlink"/>
          </w:rPr>
          <w:t>https://www.netdoktor.dk/vitaminer/</w:t>
        </w:r>
      </w:hyperlink>
      <w:r w:rsidR="009A57A0">
        <w:t xml:space="preserve"> .</w:t>
      </w:r>
    </w:p>
    <w:p w:rsidR="00457220" w:rsidRPr="00457220" w:rsidRDefault="00457220" w:rsidP="00457220">
      <w:pPr>
        <w:jc w:val="both"/>
      </w:pPr>
    </w:p>
    <w:tbl>
      <w:tblPr>
        <w:tblW w:w="0" w:type="auto"/>
        <w:tblInd w:w="85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409"/>
        <w:gridCol w:w="2694"/>
        <w:gridCol w:w="2834"/>
      </w:tblGrid>
      <w:tr w:rsidR="0017433C" w:rsidTr="0017433C">
        <w:trPr>
          <w:trHeight w:val="2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overskrift"/>
              <w:jc w:val="center"/>
              <w:rPr>
                <w:sz w:val="17"/>
                <w:szCs w:val="17"/>
              </w:rPr>
            </w:pPr>
          </w:p>
          <w:p w:rsidR="0017433C" w:rsidRDefault="0017433C" w:rsidP="0017433C">
            <w:pPr>
              <w:pStyle w:val="tabeloverskrift"/>
              <w:spacing w:line="25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Næringsstof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overskri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Minimumsindhold pr.</w:t>
            </w:r>
          </w:p>
          <w:p w:rsidR="0017433C" w:rsidRDefault="0017433C" w:rsidP="0017433C">
            <w:pPr>
              <w:pStyle w:val="tabeloverskrift"/>
              <w:spacing w:line="25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anbefalet daglig dosis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overskri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Maksimumsindhold pr.</w:t>
            </w:r>
          </w:p>
          <w:p w:rsidR="0017433C" w:rsidRDefault="0017433C" w:rsidP="0017433C">
            <w:pPr>
              <w:pStyle w:val="tabeloverskrift"/>
              <w:spacing w:line="25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anbefalet daglig dosis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Calcium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g"/>
              </w:smartTagPr>
              <w:r>
                <w:rPr>
                  <w:sz w:val="17"/>
                  <w:szCs w:val="17"/>
                </w:rPr>
                <w:t>1,5 g</w:t>
              </w:r>
            </w:smartTag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Phosphor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,5 g"/>
              </w:smartTagPr>
              <w:r>
                <w:rPr>
                  <w:sz w:val="17"/>
                  <w:szCs w:val="17"/>
                </w:rPr>
                <w:t>1,5 g</w:t>
              </w:r>
            </w:smartTag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Magnesium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mg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Jern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mg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Zink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22,5 mg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Kobber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mg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µg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 µg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Mangan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mg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mg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Chrom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µg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 µg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µg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 µg</w:t>
            </w:r>
          </w:p>
        </w:tc>
      </w:tr>
      <w:tr w:rsidR="0017433C" w:rsidTr="0017433C">
        <w:trPr>
          <w:trHeight w:val="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Molybdæn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µg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3C" w:rsidRDefault="0017433C" w:rsidP="0017433C">
            <w:pPr>
              <w:pStyle w:val="tabeltekst"/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µg</w:t>
            </w:r>
          </w:p>
        </w:tc>
      </w:tr>
    </w:tbl>
    <w:p w:rsidR="0017433C" w:rsidRPr="00457220" w:rsidRDefault="0017433C" w:rsidP="0017433C">
      <w:pPr>
        <w:jc w:val="both"/>
      </w:pPr>
    </w:p>
    <w:p w:rsidR="0017433C" w:rsidRPr="00457220" w:rsidRDefault="00255CBA">
      <w:pPr>
        <w:numPr>
          <w:ilvl w:val="0"/>
          <w:numId w:val="2"/>
        </w:numPr>
        <w:jc w:val="both"/>
      </w:pPr>
      <w:r>
        <w:t>For at kunne forstå dannel</w:t>
      </w:r>
      <w:r w:rsidR="00E401EE">
        <w:t>sen af kulstof i stjerner, siges det ofte, at</w:t>
      </w:r>
      <w:r>
        <w:t xml:space="preserve"> </w:t>
      </w:r>
      <w:proofErr w:type="spellStart"/>
      <w:r>
        <w:t>Hoyle</w:t>
      </w:r>
      <w:proofErr w:type="spellEnd"/>
      <w:r w:rsidR="00E401EE">
        <w:t xml:space="preserve"> brugte</w:t>
      </w:r>
      <w:r>
        <w:t xml:space="preserve"> et såkaldt </w:t>
      </w:r>
      <w:proofErr w:type="spellStart"/>
      <w:r>
        <w:t>antropisk</w:t>
      </w:r>
      <w:proofErr w:type="spellEnd"/>
      <w:r>
        <w:t xml:space="preserve"> argument til at forudsige eksistensen af</w:t>
      </w:r>
      <w:r w:rsidR="009A57A0">
        <w:t xml:space="preserve"> en exc</w:t>
      </w:r>
      <w:r>
        <w:t>iteret tilstand af kulstof-atomkernen. U</w:t>
      </w:r>
      <w:r w:rsidR="009A57A0">
        <w:t>ndersøg</w:t>
      </w:r>
      <w:r w:rsidR="00E61B69">
        <w:t xml:space="preserve"> på internettet</w:t>
      </w:r>
      <w:r w:rsidR="009A57A0">
        <w:t>,</w:t>
      </w:r>
      <w:r>
        <w:t xml:space="preserve"> hvad det </w:t>
      </w:r>
      <w:proofErr w:type="spellStart"/>
      <w:r>
        <w:t>antropiske</w:t>
      </w:r>
      <w:proofErr w:type="spellEnd"/>
      <w:r>
        <w:t xml:space="preserve"> princip går ud på, og h</w:t>
      </w:r>
      <w:r w:rsidR="00AA6FB8">
        <w:t xml:space="preserve">vordan det </w:t>
      </w:r>
      <w:r>
        <w:t xml:space="preserve">bruges – og misbruges! </w:t>
      </w:r>
    </w:p>
    <w:p w:rsidR="006C2A96" w:rsidRPr="00457220" w:rsidRDefault="006C2A96">
      <w:pPr>
        <w:jc w:val="both"/>
      </w:pPr>
    </w:p>
    <w:p w:rsidR="006C2A96" w:rsidRDefault="006C2A96">
      <w:pPr>
        <w:pStyle w:val="Minoverskrift2"/>
        <w:jc w:val="both"/>
      </w:pPr>
      <w:r>
        <w:t>Eksamensopgaver med relevans</w:t>
      </w:r>
    </w:p>
    <w:p w:rsidR="006C2A96" w:rsidRDefault="0023565B">
      <w:pPr>
        <w:jc w:val="both"/>
      </w:pPr>
      <w:r>
        <w:t xml:space="preserve">Fysik Højt Niveau, Maj-juni 2006, opgave 5, Omvendt </w:t>
      </w:r>
      <w:proofErr w:type="spellStart"/>
      <w:r>
        <w:t>tripel</w:t>
      </w:r>
      <w:proofErr w:type="spellEnd"/>
      <w:r>
        <w:t xml:space="preserve">-alfa proces </w:t>
      </w:r>
    </w:p>
    <w:p w:rsidR="006C2A96" w:rsidRDefault="006C2A96">
      <w:pPr>
        <w:jc w:val="both"/>
      </w:pPr>
    </w:p>
    <w:p w:rsidR="006C2A96" w:rsidRDefault="002419A6">
      <w:pPr>
        <w:pStyle w:val="Minoverskrift2"/>
        <w:jc w:val="both"/>
      </w:pPr>
      <w:r>
        <w:t>Til læreren</w:t>
      </w:r>
    </w:p>
    <w:p w:rsidR="006C2A96" w:rsidRDefault="002C5077">
      <w:pPr>
        <w:jc w:val="both"/>
      </w:pPr>
      <w:r>
        <w:t>Siden materialet blev lavet</w:t>
      </w:r>
      <w:r w:rsidR="00B73264">
        <w:t>,</w:t>
      </w:r>
      <w:r>
        <w:t xml:space="preserve"> er der sket en masse inden for området. Grundstofdannelsen har vist sig at være mere kompleks</w:t>
      </w:r>
      <w:r w:rsidR="00117F6F">
        <w:t>,</w:t>
      </w:r>
      <w:r>
        <w:t xml:space="preserve"> end man troede. Den nyeste viden er forsøgt inddraget i spørgsmål 7</w:t>
      </w:r>
      <w:r w:rsidR="008F17B0">
        <w:t>-9</w:t>
      </w:r>
      <w:r>
        <w:t>.</w:t>
      </w:r>
    </w:p>
    <w:p w:rsidR="00470D50" w:rsidRDefault="00550519">
      <w:pPr>
        <w:jc w:val="both"/>
      </w:pPr>
      <w:r>
        <w:t xml:space="preserve">Den kompakte notation for reaktionskæder kan også bruges til beskrivelse af henfaldskæder. Konventionen er normalt, at den primære </w:t>
      </w:r>
      <w:proofErr w:type="spellStart"/>
      <w:r>
        <w:t>reaktant</w:t>
      </w:r>
      <w:proofErr w:type="spellEnd"/>
      <w:r>
        <w:t xml:space="preserve"> og det primære produkt står uden for parentesen, mens alle sekundære </w:t>
      </w:r>
      <w:proofErr w:type="spellStart"/>
      <w:r>
        <w:t>reaktanter</w:t>
      </w:r>
      <w:proofErr w:type="spellEnd"/>
      <w:r>
        <w:t xml:space="preserve"> står uden mellemrum før kommaet og alle sekundære produkter står uden mellemrum efter kommaet.</w:t>
      </w:r>
    </w:p>
    <w:p w:rsidR="006C2A96" w:rsidRDefault="006C2A96">
      <w:pPr>
        <w:pStyle w:val="Minoverskrift2"/>
        <w:jc w:val="both"/>
      </w:pPr>
      <w:r>
        <w:t>Relateret materiale</w:t>
      </w:r>
    </w:p>
    <w:p w:rsidR="006C2A96" w:rsidRPr="0023565B" w:rsidRDefault="0023565B">
      <w:pPr>
        <w:jc w:val="both"/>
        <w:rPr>
          <w:b/>
        </w:rPr>
      </w:pPr>
      <w:r>
        <w:rPr>
          <w:b/>
        </w:rPr>
        <w:t>Generelt</w:t>
      </w:r>
    </w:p>
    <w:p w:rsidR="00CB389B" w:rsidRDefault="005D35C4">
      <w:pPr>
        <w:jc w:val="both"/>
      </w:pPr>
      <w:r>
        <w:t xml:space="preserve">Ben </w:t>
      </w:r>
      <w:proofErr w:type="spellStart"/>
      <w:r>
        <w:t>Mottel</w:t>
      </w:r>
      <w:r w:rsidR="0023565B">
        <w:t>son</w:t>
      </w:r>
      <w:proofErr w:type="spellEnd"/>
      <w:r w:rsidR="0023565B">
        <w:t xml:space="preserve">, </w:t>
      </w:r>
      <w:r w:rsidR="00973267">
        <w:t xml:space="preserve">i Atomkernens </w:t>
      </w:r>
      <w:proofErr w:type="spellStart"/>
      <w:r w:rsidR="00973267">
        <w:t>mikro</w:t>
      </w:r>
      <w:proofErr w:type="spellEnd"/>
      <w:r w:rsidR="00973267">
        <w:t xml:space="preserve"> makro verden, Niels Bohr Instituttet, 1971</w:t>
      </w:r>
    </w:p>
    <w:p w:rsidR="00973267" w:rsidRDefault="00973267">
      <w:pPr>
        <w:jc w:val="both"/>
        <w:rPr>
          <w:lang w:val="en-GB"/>
        </w:rPr>
      </w:pPr>
      <w:r w:rsidRPr="00973267">
        <w:rPr>
          <w:lang w:val="en-GB"/>
        </w:rPr>
        <w:t xml:space="preserve">Jørgen Christensen-Dalsgaard, Stellar Structure and Evolution, 5. </w:t>
      </w:r>
      <w:proofErr w:type="spellStart"/>
      <w:r>
        <w:rPr>
          <w:lang w:val="en-GB"/>
        </w:rPr>
        <w:t>udg</w:t>
      </w:r>
      <w:proofErr w:type="spellEnd"/>
      <w:r>
        <w:rPr>
          <w:lang w:val="en-GB"/>
        </w:rPr>
        <w:t>., 2000</w:t>
      </w:r>
    </w:p>
    <w:p w:rsidR="00973267" w:rsidRDefault="00973267">
      <w:pPr>
        <w:jc w:val="both"/>
        <w:rPr>
          <w:lang w:val="en-GB"/>
        </w:rPr>
      </w:pPr>
    </w:p>
    <w:p w:rsidR="000D70CC" w:rsidRPr="000D70CC" w:rsidRDefault="000D70CC">
      <w:pPr>
        <w:jc w:val="both"/>
        <w:rPr>
          <w:b/>
        </w:rPr>
      </w:pPr>
      <w:r w:rsidRPr="000D70CC">
        <w:rPr>
          <w:b/>
        </w:rPr>
        <w:t>Kerners bindingsenergier</w:t>
      </w:r>
    </w:p>
    <w:p w:rsidR="002419A6" w:rsidRPr="000D70CC" w:rsidRDefault="000D70CC">
      <w:pPr>
        <w:jc w:val="both"/>
      </w:pPr>
      <w:r w:rsidRPr="000D70CC">
        <w:t xml:space="preserve">Søgeord: Einstein </w:t>
      </w:r>
      <w:proofErr w:type="spellStart"/>
      <w:r w:rsidRPr="000D70CC">
        <w:t>nuclear</w:t>
      </w:r>
      <w:proofErr w:type="spellEnd"/>
      <w:r w:rsidRPr="000D70CC">
        <w:t xml:space="preserve"> binding</w:t>
      </w:r>
    </w:p>
    <w:p w:rsidR="000D70CC" w:rsidRPr="001F67E4" w:rsidRDefault="00B13FB2">
      <w:pPr>
        <w:jc w:val="both"/>
      </w:pPr>
      <w:hyperlink r:id="rId15" w:history="1">
        <w:r w:rsidR="000D70CC" w:rsidRPr="001F67E4">
          <w:rPr>
            <w:rStyle w:val="Hyperlink"/>
          </w:rPr>
          <w:t>http://www.einstein-online.info/en/spotlights/binding_energy/index.html</w:t>
        </w:r>
      </w:hyperlink>
    </w:p>
    <w:p w:rsidR="000D70CC" w:rsidRPr="001F67E4" w:rsidRDefault="000D70CC">
      <w:pPr>
        <w:jc w:val="both"/>
      </w:pPr>
    </w:p>
    <w:p w:rsidR="002419A6" w:rsidRDefault="000D70CC">
      <w:pPr>
        <w:jc w:val="both"/>
        <w:rPr>
          <w:b/>
        </w:rPr>
      </w:pPr>
      <w:r w:rsidRPr="000D70CC">
        <w:rPr>
          <w:b/>
        </w:rPr>
        <w:t>Grundstoffordelingen i mennesker</w:t>
      </w:r>
    </w:p>
    <w:p w:rsidR="000D70CC" w:rsidRPr="00117F6F" w:rsidRDefault="000D70CC" w:rsidP="000D70CC">
      <w:pPr>
        <w:jc w:val="both"/>
      </w:pPr>
      <w:r w:rsidRPr="00117F6F">
        <w:t xml:space="preserve">Søgeord: elements in </w:t>
      </w:r>
      <w:proofErr w:type="spellStart"/>
      <w:r w:rsidRPr="00117F6F">
        <w:t>humans</w:t>
      </w:r>
      <w:proofErr w:type="spellEnd"/>
    </w:p>
    <w:p w:rsidR="000D70CC" w:rsidRPr="00117F6F" w:rsidRDefault="00B13FB2" w:rsidP="000D70CC">
      <w:pPr>
        <w:jc w:val="both"/>
      </w:pPr>
      <w:hyperlink r:id="rId16" w:history="1">
        <w:r w:rsidR="000D70CC" w:rsidRPr="00117F6F">
          <w:rPr>
            <w:rStyle w:val="Hyperlink"/>
          </w:rPr>
          <w:t>http://web2.airmail.net/uthman/elements_of_body.html</w:t>
        </w:r>
      </w:hyperlink>
    </w:p>
    <w:p w:rsidR="000D70CC" w:rsidRDefault="000D70CC">
      <w:pPr>
        <w:jc w:val="both"/>
      </w:pPr>
    </w:p>
    <w:p w:rsidR="008F17B0" w:rsidRDefault="008F17B0">
      <w:pPr>
        <w:jc w:val="both"/>
        <w:rPr>
          <w:b/>
        </w:rPr>
      </w:pPr>
      <w:r>
        <w:rPr>
          <w:b/>
        </w:rPr>
        <w:t>Om kilonovaer</w:t>
      </w:r>
    </w:p>
    <w:p w:rsidR="008F17B0" w:rsidRDefault="00B13FB2">
      <w:pPr>
        <w:jc w:val="both"/>
      </w:pPr>
      <w:hyperlink r:id="rId17" w:history="1">
        <w:r w:rsidR="008F17B0" w:rsidRPr="0070313D">
          <w:rPr>
            <w:rStyle w:val="Hyperlink"/>
          </w:rPr>
          <w:t>https://videnskab.dk/naturvidenskab/neutronstjerner-udspyr-guld-jod-og-det-halve-periodiske-system</w:t>
        </w:r>
      </w:hyperlink>
      <w:r w:rsidR="008F17B0">
        <w:t xml:space="preserve"> </w:t>
      </w:r>
    </w:p>
    <w:p w:rsidR="008F17B0" w:rsidRDefault="00B13FB2">
      <w:pPr>
        <w:jc w:val="both"/>
      </w:pPr>
      <w:hyperlink r:id="rId18" w:history="1">
        <w:r w:rsidR="008F17B0" w:rsidRPr="0070313D">
          <w:rPr>
            <w:rStyle w:val="Hyperlink"/>
          </w:rPr>
          <w:t>http://nyheder.ku.dk/alle_nyheder/2017/10/neutronstjerners-sammenstoed-rystede-universet/</w:t>
        </w:r>
      </w:hyperlink>
    </w:p>
    <w:p w:rsidR="008F17B0" w:rsidRPr="008F17B0" w:rsidRDefault="008F17B0">
      <w:pPr>
        <w:jc w:val="both"/>
        <w:rPr>
          <w:b/>
        </w:rPr>
      </w:pPr>
    </w:p>
    <w:p w:rsidR="000D70CC" w:rsidRPr="000D70CC" w:rsidRDefault="000D70CC">
      <w:pPr>
        <w:jc w:val="both"/>
        <w:rPr>
          <w:b/>
        </w:rPr>
      </w:pPr>
      <w:r w:rsidRPr="000D70CC">
        <w:rPr>
          <w:b/>
        </w:rPr>
        <w:t>Om vitaminer</w:t>
      </w:r>
    </w:p>
    <w:p w:rsidR="002419A6" w:rsidRDefault="00B13FB2">
      <w:pPr>
        <w:jc w:val="both"/>
      </w:pPr>
      <w:hyperlink r:id="rId19" w:history="1">
        <w:r w:rsidR="007B0A3C" w:rsidRPr="0070313D">
          <w:rPr>
            <w:rStyle w:val="Hyperlink"/>
          </w:rPr>
          <w:t>https://www.netdoktor.dk/vitaminer/</w:t>
        </w:r>
      </w:hyperlink>
    </w:p>
    <w:p w:rsidR="00924B0C" w:rsidRDefault="00B13FB2">
      <w:pPr>
        <w:jc w:val="both"/>
      </w:pPr>
      <w:hyperlink r:id="rId20" w:history="1">
        <w:r w:rsidR="00924B0C" w:rsidRPr="0070313D">
          <w:rPr>
            <w:rStyle w:val="Hyperlink"/>
          </w:rPr>
          <w:t>https://www.retsinformation.dk/Forms/R0710.aspx?id=128899</w:t>
        </w:r>
      </w:hyperlink>
      <w:r w:rsidR="00924B0C">
        <w:t xml:space="preserve"> Referencen er historisk, men den har nogle interessante bilag</w:t>
      </w:r>
    </w:p>
    <w:p w:rsidR="00532A69" w:rsidRDefault="00532A69">
      <w:pPr>
        <w:jc w:val="both"/>
      </w:pPr>
    </w:p>
    <w:p w:rsidR="009B7064" w:rsidRDefault="009B7064">
      <w:pPr>
        <w:jc w:val="both"/>
        <w:rPr>
          <w:b/>
        </w:rPr>
      </w:pPr>
      <w:r>
        <w:rPr>
          <w:b/>
        </w:rPr>
        <w:t>Resonansen i kulstof</w:t>
      </w:r>
    </w:p>
    <w:p w:rsidR="009B7064" w:rsidRDefault="009B7064">
      <w:pPr>
        <w:jc w:val="both"/>
      </w:pPr>
      <w:r>
        <w:t xml:space="preserve">Søgeord: </w:t>
      </w:r>
      <w:proofErr w:type="spellStart"/>
      <w:r>
        <w:t>hoyle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resonance</w:t>
      </w:r>
      <w:proofErr w:type="spellEnd"/>
    </w:p>
    <w:p w:rsidR="009B7064" w:rsidRDefault="00B13FB2">
      <w:pPr>
        <w:jc w:val="both"/>
        <w:rPr>
          <w:rStyle w:val="Hyperlink"/>
        </w:rPr>
      </w:pPr>
      <w:hyperlink r:id="rId21" w:history="1">
        <w:r w:rsidR="009B7064" w:rsidRPr="001B7953">
          <w:rPr>
            <w:rStyle w:val="Hyperlink"/>
          </w:rPr>
          <w:t>http://en.wikipedia.org/wiki/Triple-alpha_process</w:t>
        </w:r>
      </w:hyperlink>
    </w:p>
    <w:p w:rsidR="00AA6FB8" w:rsidRDefault="00B13FB2">
      <w:pPr>
        <w:jc w:val="both"/>
      </w:pPr>
      <w:hyperlink r:id="rId22" w:history="1">
        <w:r w:rsidR="00AA6FB8" w:rsidRPr="0070313D">
          <w:rPr>
            <w:rStyle w:val="Hyperlink"/>
          </w:rPr>
          <w:t>http://philsci-archive.pitt.edu/5332/1/3alphaphil.pdf</w:t>
        </w:r>
      </w:hyperlink>
    </w:p>
    <w:p w:rsidR="00AA6FB8" w:rsidRDefault="00AA6FB8">
      <w:pPr>
        <w:jc w:val="both"/>
      </w:pPr>
    </w:p>
    <w:p w:rsidR="009B7064" w:rsidRPr="009B7064" w:rsidRDefault="009B7064">
      <w:pPr>
        <w:jc w:val="both"/>
      </w:pPr>
    </w:p>
    <w:p w:rsidR="000D70CC" w:rsidRDefault="000D70CC">
      <w:pPr>
        <w:jc w:val="both"/>
        <w:rPr>
          <w:b/>
        </w:rPr>
      </w:pPr>
      <w:r>
        <w:rPr>
          <w:b/>
        </w:rPr>
        <w:t xml:space="preserve">Det </w:t>
      </w:r>
      <w:proofErr w:type="spellStart"/>
      <w:r>
        <w:rPr>
          <w:b/>
        </w:rPr>
        <w:t>antropiske</w:t>
      </w:r>
      <w:proofErr w:type="spellEnd"/>
      <w:r>
        <w:rPr>
          <w:b/>
        </w:rPr>
        <w:t xml:space="preserve"> princip</w:t>
      </w:r>
    </w:p>
    <w:p w:rsidR="000D70CC" w:rsidRDefault="006168F3">
      <w:pPr>
        <w:jc w:val="both"/>
      </w:pPr>
      <w:r w:rsidRPr="006168F3">
        <w:t>Søgeord:</w:t>
      </w:r>
      <w:r>
        <w:t xml:space="preserve"> </w:t>
      </w:r>
      <w:proofErr w:type="spellStart"/>
      <w:r>
        <w:t>antropisk</w:t>
      </w:r>
      <w:proofErr w:type="spellEnd"/>
      <w:r>
        <w:t xml:space="preserve"> princip</w:t>
      </w:r>
    </w:p>
    <w:p w:rsidR="00470D50" w:rsidRDefault="00B13FB2">
      <w:pPr>
        <w:jc w:val="both"/>
      </w:pPr>
      <w:hyperlink r:id="rId23" w:history="1">
        <w:r w:rsidR="00470D50" w:rsidRPr="0070313D">
          <w:rPr>
            <w:rStyle w:val="Hyperlink"/>
          </w:rPr>
          <w:t>http://denstoredanske.dk/It,_teknik_og_naturvidenskab/Astronomi/Kosmologi_og_kosmogoni/det_antropiske_princip</w:t>
        </w:r>
      </w:hyperlink>
      <w:r w:rsidR="00470D50">
        <w:t xml:space="preserve"> </w:t>
      </w:r>
    </w:p>
    <w:p w:rsidR="00AA6FB8" w:rsidRDefault="00B13FB2">
      <w:pPr>
        <w:jc w:val="both"/>
      </w:pPr>
      <w:hyperlink r:id="rId24" w:history="1">
        <w:r w:rsidR="00AA6FB8" w:rsidRPr="0070313D">
          <w:rPr>
            <w:rStyle w:val="Hyperlink"/>
          </w:rPr>
          <w:t>https://ing.dk/artikel/meta-science-antropisk-verden-94386</w:t>
        </w:r>
      </w:hyperlink>
    </w:p>
    <w:p w:rsidR="00AA6FB8" w:rsidRDefault="00B13FB2">
      <w:pPr>
        <w:jc w:val="both"/>
      </w:pPr>
      <w:hyperlink r:id="rId25" w:history="1">
        <w:r w:rsidR="00470D50" w:rsidRPr="0070313D">
          <w:rPr>
            <w:rStyle w:val="Hyperlink"/>
          </w:rPr>
          <w:t>http://www.kvant.dk/upload/kv-2010-4/kv-2010-4-HK-eskatologi.pdf</w:t>
        </w:r>
      </w:hyperlink>
    </w:p>
    <w:p w:rsidR="001C5F25" w:rsidRDefault="00B13FB2">
      <w:pPr>
        <w:jc w:val="both"/>
      </w:pPr>
      <w:hyperlink r:id="rId26" w:history="1">
        <w:r w:rsidR="001C5F25" w:rsidRPr="0070313D">
          <w:rPr>
            <w:rStyle w:val="Hyperlink"/>
          </w:rPr>
          <w:t>http://scitech.au.dk/fileadmin/site_files/science.au.dk/NF/Komm/DenbevaegedeJord/Det_antropiske_princip_uddrag_Jan_Faye_.pdf</w:t>
        </w:r>
      </w:hyperlink>
      <w:r w:rsidR="001C5F25">
        <w:t xml:space="preserve"> </w:t>
      </w:r>
    </w:p>
    <w:p w:rsidR="002419A6" w:rsidRDefault="002419A6">
      <w:pPr>
        <w:jc w:val="both"/>
      </w:pPr>
    </w:p>
    <w:sectPr w:rsidR="002419A6" w:rsidSect="00834C52">
      <w:headerReference w:type="default" r:id="rId2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2E" w:rsidRDefault="00B5012E">
      <w:r>
        <w:separator/>
      </w:r>
    </w:p>
  </w:endnote>
  <w:endnote w:type="continuationSeparator" w:id="0">
    <w:p w:rsidR="00B5012E" w:rsidRDefault="00B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2E" w:rsidRDefault="00B5012E">
      <w:r>
        <w:separator/>
      </w:r>
    </w:p>
  </w:footnote>
  <w:footnote w:type="continuationSeparator" w:id="0">
    <w:p w:rsidR="00B5012E" w:rsidRDefault="00B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9E" w:rsidRPr="00B53723" w:rsidRDefault="00237D9E" w:rsidP="00C3193F">
    <w:pPr>
      <w:pStyle w:val="Header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 w:rsidR="00B13FB2">
      <w:rPr>
        <w:rFonts w:ascii="Arial" w:hAnsi="Arial" w:cs="Arial"/>
        <w:sz w:val="20"/>
        <w:szCs w:val="20"/>
      </w:rPr>
      <w:t xml:space="preserve">å </w:t>
    </w:r>
    <w:r>
      <w:rPr>
        <w:rFonts w:ascii="Arial" w:hAnsi="Arial" w:cs="Arial"/>
        <w:sz w:val="20"/>
        <w:szCs w:val="20"/>
      </w:rPr>
      <w:t>aktuelnaturvidenskab.dk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74F"/>
    <w:multiLevelType w:val="hybridMultilevel"/>
    <w:tmpl w:val="B8F628E2"/>
    <w:lvl w:ilvl="0" w:tplc="AB1249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F2F85"/>
    <w:multiLevelType w:val="hybridMultilevel"/>
    <w:tmpl w:val="6AF0194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2"/>
    <w:rsid w:val="00086B8C"/>
    <w:rsid w:val="000974FA"/>
    <w:rsid w:val="000C707E"/>
    <w:rsid w:val="000D70CC"/>
    <w:rsid w:val="000E4253"/>
    <w:rsid w:val="000F15F3"/>
    <w:rsid w:val="00106F2D"/>
    <w:rsid w:val="0011020E"/>
    <w:rsid w:val="00115A7A"/>
    <w:rsid w:val="00117F6F"/>
    <w:rsid w:val="0012440E"/>
    <w:rsid w:val="0013602A"/>
    <w:rsid w:val="0017433C"/>
    <w:rsid w:val="00191B9B"/>
    <w:rsid w:val="001C5F25"/>
    <w:rsid w:val="001D536A"/>
    <w:rsid w:val="001E3D23"/>
    <w:rsid w:val="001F67E4"/>
    <w:rsid w:val="001F6C51"/>
    <w:rsid w:val="00207496"/>
    <w:rsid w:val="00222558"/>
    <w:rsid w:val="002352A2"/>
    <w:rsid w:val="0023565B"/>
    <w:rsid w:val="00237D9E"/>
    <w:rsid w:val="002419A6"/>
    <w:rsid w:val="00255CBA"/>
    <w:rsid w:val="002A4AFD"/>
    <w:rsid w:val="002C5077"/>
    <w:rsid w:val="002D23A2"/>
    <w:rsid w:val="002D3850"/>
    <w:rsid w:val="002D4986"/>
    <w:rsid w:val="002F2A5A"/>
    <w:rsid w:val="002F395B"/>
    <w:rsid w:val="00334C48"/>
    <w:rsid w:val="00353B86"/>
    <w:rsid w:val="0038204F"/>
    <w:rsid w:val="00393DF6"/>
    <w:rsid w:val="003B5811"/>
    <w:rsid w:val="003F73BB"/>
    <w:rsid w:val="004465EF"/>
    <w:rsid w:val="00457220"/>
    <w:rsid w:val="00470D50"/>
    <w:rsid w:val="0048332C"/>
    <w:rsid w:val="004A609E"/>
    <w:rsid w:val="004F7B74"/>
    <w:rsid w:val="00532A69"/>
    <w:rsid w:val="005360C5"/>
    <w:rsid w:val="00537C05"/>
    <w:rsid w:val="005459DE"/>
    <w:rsid w:val="00550519"/>
    <w:rsid w:val="0056473D"/>
    <w:rsid w:val="005763CD"/>
    <w:rsid w:val="005820E8"/>
    <w:rsid w:val="005834BF"/>
    <w:rsid w:val="005D35C4"/>
    <w:rsid w:val="005F2DD9"/>
    <w:rsid w:val="00600196"/>
    <w:rsid w:val="00607AFF"/>
    <w:rsid w:val="006122A7"/>
    <w:rsid w:val="006168F3"/>
    <w:rsid w:val="0063347E"/>
    <w:rsid w:val="006369A2"/>
    <w:rsid w:val="00641D2C"/>
    <w:rsid w:val="006755CA"/>
    <w:rsid w:val="006C037D"/>
    <w:rsid w:val="006C08F5"/>
    <w:rsid w:val="006C2A96"/>
    <w:rsid w:val="006E2726"/>
    <w:rsid w:val="006E4574"/>
    <w:rsid w:val="006F0E6E"/>
    <w:rsid w:val="00711022"/>
    <w:rsid w:val="0077367E"/>
    <w:rsid w:val="007B0A3C"/>
    <w:rsid w:val="007F569E"/>
    <w:rsid w:val="0080584D"/>
    <w:rsid w:val="00834C52"/>
    <w:rsid w:val="008544A8"/>
    <w:rsid w:val="008669EC"/>
    <w:rsid w:val="00876ED7"/>
    <w:rsid w:val="00877358"/>
    <w:rsid w:val="008F17B0"/>
    <w:rsid w:val="008F6704"/>
    <w:rsid w:val="00924B0C"/>
    <w:rsid w:val="00935EF6"/>
    <w:rsid w:val="009630B5"/>
    <w:rsid w:val="009633F1"/>
    <w:rsid w:val="00973267"/>
    <w:rsid w:val="009A2589"/>
    <w:rsid w:val="009A57A0"/>
    <w:rsid w:val="009B0272"/>
    <w:rsid w:val="009B5780"/>
    <w:rsid w:val="009B7064"/>
    <w:rsid w:val="009B77A2"/>
    <w:rsid w:val="009F3273"/>
    <w:rsid w:val="009F7593"/>
    <w:rsid w:val="00A0459D"/>
    <w:rsid w:val="00A154D8"/>
    <w:rsid w:val="00A3434E"/>
    <w:rsid w:val="00A55671"/>
    <w:rsid w:val="00AA4214"/>
    <w:rsid w:val="00AA6FB8"/>
    <w:rsid w:val="00AD7AD4"/>
    <w:rsid w:val="00AE5461"/>
    <w:rsid w:val="00B13FB2"/>
    <w:rsid w:val="00B159FE"/>
    <w:rsid w:val="00B22B50"/>
    <w:rsid w:val="00B5012E"/>
    <w:rsid w:val="00B53723"/>
    <w:rsid w:val="00B73264"/>
    <w:rsid w:val="00B83980"/>
    <w:rsid w:val="00B96628"/>
    <w:rsid w:val="00BB3C87"/>
    <w:rsid w:val="00BD65F8"/>
    <w:rsid w:val="00C152F7"/>
    <w:rsid w:val="00C225B7"/>
    <w:rsid w:val="00C309DE"/>
    <w:rsid w:val="00C3193F"/>
    <w:rsid w:val="00C60D90"/>
    <w:rsid w:val="00CB389B"/>
    <w:rsid w:val="00CB6382"/>
    <w:rsid w:val="00CC162C"/>
    <w:rsid w:val="00D2293A"/>
    <w:rsid w:val="00D7632F"/>
    <w:rsid w:val="00D86BFD"/>
    <w:rsid w:val="00DE07D0"/>
    <w:rsid w:val="00E401EE"/>
    <w:rsid w:val="00E61B69"/>
    <w:rsid w:val="00E64F0C"/>
    <w:rsid w:val="00E81967"/>
    <w:rsid w:val="00E907CA"/>
    <w:rsid w:val="00E97A9F"/>
    <w:rsid w:val="00EA331E"/>
    <w:rsid w:val="00EA73CA"/>
    <w:rsid w:val="00F1362B"/>
    <w:rsid w:val="00F54E50"/>
    <w:rsid w:val="00FA4323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C0C2F25-67DE-44DF-8C06-ED1988D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Heading2"/>
    <w:next w:val="Normal"/>
    <w:rPr>
      <w:rFonts w:ascii="Times New Roman" w:hAnsi="Times New Roman"/>
      <w:i w:val="0"/>
    </w:rPr>
  </w:style>
  <w:style w:type="paragraph" w:styleId="Header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CC162C"/>
    <w:rPr>
      <w:color w:val="0000FF"/>
      <w:u w:val="single"/>
    </w:rPr>
  </w:style>
  <w:style w:type="table" w:styleId="TableGrid">
    <w:name w:val="Table Grid"/>
    <w:basedOn w:val="TableNormal"/>
    <w:rsid w:val="001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rsid w:val="0017433C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17433C"/>
    <w:rPr>
      <w:rFonts w:ascii="Tahoma" w:hAnsi="Tahoma" w:cs="Tahoma"/>
      <w:b/>
      <w:bCs/>
      <w:color w:val="000000"/>
    </w:rPr>
  </w:style>
  <w:style w:type="character" w:styleId="FollowedHyperlink">
    <w:name w:val="FollowedHyperlink"/>
    <w:basedOn w:val="DefaultParagraphFont"/>
    <w:rsid w:val="004572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56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naturvidenskab/neutronstjerner-udspyr-guld-jod-og-det-halve-periodiske-syste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nyheder.ku.dk/alle_nyheder/2017/10/neutronstjerners-sammenstoed-rystede-universet/" TargetMode="External"/><Relationship Id="rId26" Type="http://schemas.openxmlformats.org/officeDocument/2006/relationships/hyperlink" Target="http://scitech.au.dk/fileadmin/site_files/science.au.dk/NF/Komm/DenbevaegedeJord/Det_antropiske_princip_uddrag_Jan_Faye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Triple-alpha_proces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hyperlink" Target="https://videnskab.dk/naturvidenskab/neutronstjerner-udspyr-guld-jod-og-det-halve-periodiske-system" TargetMode="External"/><Relationship Id="rId25" Type="http://schemas.openxmlformats.org/officeDocument/2006/relationships/hyperlink" Target="http://www.kvant.dk/upload/kv-2010-4/kv-2010-4-HK-eskatolog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airmail.net/uthman/elements_of_body.html" TargetMode="External"/><Relationship Id="rId20" Type="http://schemas.openxmlformats.org/officeDocument/2006/relationships/hyperlink" Target="https://www.retsinformation.dk/Forms/R0710.aspx?id=1288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nstein-online.info/spotlights/binding_energy.html" TargetMode="External"/><Relationship Id="rId24" Type="http://schemas.openxmlformats.org/officeDocument/2006/relationships/hyperlink" Target="https://ing.dk/artikel/meta-science-antropisk-verden-943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instein-online.info/en/spotlights/binding_energy/index.html" TargetMode="External"/><Relationship Id="rId23" Type="http://schemas.openxmlformats.org/officeDocument/2006/relationships/hyperlink" Target="http://denstoredanske.dk/It,_teknik_og_naturvidenskab/Astronomi/Kosmologi_og_kosmogoni/det_antropiske_princi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wmf"/><Relationship Id="rId19" Type="http://schemas.openxmlformats.org/officeDocument/2006/relationships/hyperlink" Target="https://www.netdoktor.dk/vitamin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www.netdoktor.dk/vitaminer/" TargetMode="External"/><Relationship Id="rId22" Type="http://schemas.openxmlformats.org/officeDocument/2006/relationships/hyperlink" Target="http://philsci-archive.pitt.edu/5332/1/3alphaphil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1337</Words>
  <Characters>9845</Characters>
  <Application>Microsoft Office Word</Application>
  <DocSecurity>0</DocSecurity>
  <Lines>378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10939</CharactersWithSpaces>
  <SharedDoc>false</SharedDoc>
  <HLinks>
    <vt:vector size="78" baseType="variant">
      <vt:variant>
        <vt:i4>7078009</vt:i4>
      </vt:variant>
      <vt:variant>
        <vt:i4>48</vt:i4>
      </vt:variant>
      <vt:variant>
        <vt:i4>0</vt:i4>
      </vt:variant>
      <vt:variant>
        <vt:i4>5</vt:i4>
      </vt:variant>
      <vt:variant>
        <vt:lpwstr>http://www.hedegaard.nu/pdf/Det Antropiske Princip.pdf</vt:lpwstr>
      </vt:variant>
      <vt:variant>
        <vt:lpwstr/>
      </vt:variant>
      <vt:variant>
        <vt:i4>3014712</vt:i4>
      </vt:variant>
      <vt:variant>
        <vt:i4>45</vt:i4>
      </vt:variant>
      <vt:variant>
        <vt:i4>0</vt:i4>
      </vt:variant>
      <vt:variant>
        <vt:i4>5</vt:i4>
      </vt:variant>
      <vt:variant>
        <vt:lpwstr>http://universer.dk/antropi.htm</vt:lpwstr>
      </vt:variant>
      <vt:variant>
        <vt:lpwstr/>
      </vt:variant>
      <vt:variant>
        <vt:i4>8323177</vt:i4>
      </vt:variant>
      <vt:variant>
        <vt:i4>42</vt:i4>
      </vt:variant>
      <vt:variant>
        <vt:i4>0</vt:i4>
      </vt:variant>
      <vt:variant>
        <vt:i4>5</vt:i4>
      </vt:variant>
      <vt:variant>
        <vt:lpwstr>http://users.cybercity.dk/~kam1966/antropi.htm</vt:lpwstr>
      </vt:variant>
      <vt:variant>
        <vt:lpwstr/>
      </vt:variant>
      <vt:variant>
        <vt:i4>7209019</vt:i4>
      </vt:variant>
      <vt:variant>
        <vt:i4>39</vt:i4>
      </vt:variant>
      <vt:variant>
        <vt:i4>0</vt:i4>
      </vt:variant>
      <vt:variant>
        <vt:i4>5</vt:i4>
      </vt:variant>
      <vt:variant>
        <vt:lpwstr>http://astrogym.ifa.au.dk/fynbo/2002/1205.2002.html</vt:lpwstr>
      </vt:variant>
      <vt:variant>
        <vt:lpwstr/>
      </vt:variant>
      <vt:variant>
        <vt:i4>7995480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http://en.wikipedia.org/wiki/Triple-alpha_process</vt:lpwstr>
      </vt:variant>
      <vt:variant>
        <vt:lpwstr/>
      </vt:variant>
      <vt:variant>
        <vt:i4>8126505</vt:i4>
      </vt:variant>
      <vt:variant>
        <vt:i4>33</vt:i4>
      </vt:variant>
      <vt:variant>
        <vt:i4>0</vt:i4>
      </vt:variant>
      <vt:variant>
        <vt:i4>5</vt:i4>
      </vt:variant>
      <vt:variant>
        <vt:lpwstr>http://www.np.ph.bham.ac.uk/research/anthropic.htm</vt:lpwstr>
      </vt:variant>
      <vt:variant>
        <vt:lpwstr/>
      </vt:variant>
      <vt:variant>
        <vt:i4>3211379</vt:i4>
      </vt:variant>
      <vt:variant>
        <vt:i4>30</vt:i4>
      </vt:variant>
      <vt:variant>
        <vt:i4>0</vt:i4>
      </vt:variant>
      <vt:variant>
        <vt:i4>5</vt:i4>
      </vt:variant>
      <vt:variant>
        <vt:lpwstr>https://www.retsinformation.dk/Forms/R0710.aspx?id=7822</vt:lpwstr>
      </vt:variant>
      <vt:variant>
        <vt:lpwstr/>
      </vt:variant>
      <vt:variant>
        <vt:i4>3670115</vt:i4>
      </vt:variant>
      <vt:variant>
        <vt:i4>27</vt:i4>
      </vt:variant>
      <vt:variant>
        <vt:i4>0</vt:i4>
      </vt:variant>
      <vt:variant>
        <vt:i4>5</vt:i4>
      </vt:variant>
      <vt:variant>
        <vt:lpwstr>http://www.netdoktor.dk/vitaminer/</vt:lpwstr>
      </vt:variant>
      <vt:variant>
        <vt:lpwstr/>
      </vt:variant>
      <vt:variant>
        <vt:i4>7733302</vt:i4>
      </vt:variant>
      <vt:variant>
        <vt:i4>24</vt:i4>
      </vt:variant>
      <vt:variant>
        <vt:i4>0</vt:i4>
      </vt:variant>
      <vt:variant>
        <vt:i4>5</vt:i4>
      </vt:variant>
      <vt:variant>
        <vt:lpwstr>http://web2.airmail.net/uthman/elements_of_body.html</vt:lpwstr>
      </vt:variant>
      <vt:variant>
        <vt:lpwstr/>
      </vt:variant>
      <vt:variant>
        <vt:i4>5832740</vt:i4>
      </vt:variant>
      <vt:variant>
        <vt:i4>21</vt:i4>
      </vt:variant>
      <vt:variant>
        <vt:i4>0</vt:i4>
      </vt:variant>
      <vt:variant>
        <vt:i4>5</vt:i4>
      </vt:variant>
      <vt:variant>
        <vt:lpwstr>http://www.einstein-online.info/en/spotlights/binding_energy/index.html</vt:lpwstr>
      </vt:variant>
      <vt:variant>
        <vt:lpwstr/>
      </vt:variant>
      <vt:variant>
        <vt:i4>3670115</vt:i4>
      </vt:variant>
      <vt:variant>
        <vt:i4>18</vt:i4>
      </vt:variant>
      <vt:variant>
        <vt:i4>0</vt:i4>
      </vt:variant>
      <vt:variant>
        <vt:i4>5</vt:i4>
      </vt:variant>
      <vt:variant>
        <vt:lpwstr>http://www.netdoktor.dk/vitaminer/</vt:lpwstr>
      </vt:variant>
      <vt:variant>
        <vt:lpwstr/>
      </vt:variant>
      <vt:variant>
        <vt:i4>4063277</vt:i4>
      </vt:variant>
      <vt:variant>
        <vt:i4>6</vt:i4>
      </vt:variant>
      <vt:variant>
        <vt:i4>0</vt:i4>
      </vt:variant>
      <vt:variant>
        <vt:i4>5</vt:i4>
      </vt:variant>
      <vt:variant>
        <vt:lpwstr>http://www.einstein-online.info/en/spotlights/binding_energy/binding_energy/index.txt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http://web2.airmail.net/uthman/elements_of_body.html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Århus Statsgymnasium</dc:creator>
  <cp:keywords/>
  <dc:description/>
  <cp:lastModifiedBy>Jørgen Dahlgaard</cp:lastModifiedBy>
  <cp:revision>4</cp:revision>
  <cp:lastPrinted>2008-06-10T09:27:00Z</cp:lastPrinted>
  <dcterms:created xsi:type="dcterms:W3CDTF">2018-05-14T09:27:00Z</dcterms:created>
  <dcterms:modified xsi:type="dcterms:W3CDTF">2018-05-24T11:52:00Z</dcterms:modified>
</cp:coreProperties>
</file>