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1CF82" w14:textId="21392AF2" w:rsidR="00DE5C28" w:rsidRPr="0084240F" w:rsidRDefault="00DE5C28" w:rsidP="00DE5C28">
      <w:pPr>
        <w:jc w:val="center"/>
        <w:rPr>
          <w:sz w:val="32"/>
        </w:rPr>
      </w:pPr>
      <w:r w:rsidRPr="0084240F">
        <w:rPr>
          <w:sz w:val="32"/>
        </w:rPr>
        <w:t xml:space="preserve">NV-forløb: </w:t>
      </w:r>
      <w:r w:rsidR="003D199D">
        <w:rPr>
          <w:sz w:val="32"/>
        </w:rPr>
        <w:t>Food science</w:t>
      </w:r>
    </w:p>
    <w:p w14:paraId="1EC27FFA" w14:textId="3E925C3F" w:rsidR="00DE5C28" w:rsidRDefault="00DE5C28" w:rsidP="00DE5C28">
      <w:pPr>
        <w:jc w:val="center"/>
        <w:rPr>
          <w:sz w:val="28"/>
        </w:rPr>
      </w:pPr>
      <w:r>
        <w:rPr>
          <w:sz w:val="28"/>
        </w:rPr>
        <w:t>(</w:t>
      </w:r>
      <w:r w:rsidRPr="0084240F">
        <w:rPr>
          <w:sz w:val="28"/>
        </w:rPr>
        <w:t>Biologi, kemi og bioteknologi</w:t>
      </w:r>
      <w:r>
        <w:rPr>
          <w:sz w:val="28"/>
        </w:rPr>
        <w:t>)</w:t>
      </w:r>
    </w:p>
    <w:p w14:paraId="18263A5E" w14:textId="263C1873" w:rsidR="00E50471" w:rsidRDefault="00E50471" w:rsidP="00E50471">
      <w:pPr>
        <w:jc w:val="center"/>
      </w:pPr>
      <w:r>
        <w:rPr>
          <w:color w:val="000000"/>
        </w:rPr>
        <w:t>Udarbejdet af Anne Marie Rasmussen, Viborg Katedralskole</w:t>
      </w:r>
      <w:r w:rsidR="0066182E">
        <w:rPr>
          <w:color w:val="000000"/>
        </w:rPr>
        <w:t>, for Aktuel Naturvidenskab</w:t>
      </w:r>
    </w:p>
    <w:p w14:paraId="26B46AD2" w14:textId="77777777" w:rsidR="00D57C12" w:rsidRDefault="003D1611"/>
    <w:p w14:paraId="7272BB53" w14:textId="4288CF74" w:rsidR="00DE5C28" w:rsidRDefault="00ED4920" w:rsidP="003D199D">
      <w:pPr>
        <w:pStyle w:val="ListParagraph"/>
        <w:numPr>
          <w:ilvl w:val="0"/>
          <w:numId w:val="1"/>
        </w:numPr>
      </w:pPr>
      <w:r>
        <w:t>Forslag til øvelser og t</w:t>
      </w:r>
      <w:r w:rsidR="004D5DDA">
        <w:t>ilhørende teori og artik</w:t>
      </w:r>
      <w:r w:rsidR="006B5399">
        <w:t>ler</w:t>
      </w:r>
      <w:r w:rsidR="004D5DDA">
        <w:t xml:space="preserve"> fra Aktuel Naturvidenskab</w:t>
      </w:r>
    </w:p>
    <w:p w14:paraId="158B6744" w14:textId="7778B75C" w:rsidR="00C365A2" w:rsidRDefault="00C365A2" w:rsidP="003D199D">
      <w:pPr>
        <w:pStyle w:val="ListParagraph"/>
        <w:numPr>
          <w:ilvl w:val="0"/>
          <w:numId w:val="1"/>
        </w:numPr>
      </w:pPr>
      <w:r>
        <w:t xml:space="preserve">Artiklerne (eller dele deraf) kan læses som </w:t>
      </w:r>
      <w:r w:rsidR="00410471">
        <w:t>teori forberedelse til øvelserne eller som perspektivering bagefter.</w:t>
      </w:r>
    </w:p>
    <w:p w14:paraId="6D1F3E8D" w14:textId="04C15C99" w:rsidR="003B0ED3" w:rsidRDefault="00B00B72" w:rsidP="003B0ED3">
      <w:pPr>
        <w:pStyle w:val="ListParagraph"/>
        <w:numPr>
          <w:ilvl w:val="1"/>
          <w:numId w:val="1"/>
        </w:numPr>
      </w:pPr>
      <w:r>
        <w:t>Eventuel kan de også anvendes som en opsummering/perspektivering i slutningen af forløbet i eksempelvis matrix</w:t>
      </w:r>
      <w:r w:rsidR="004C4A10">
        <w:t>gruppe-</w:t>
      </w:r>
      <w:r w:rsidR="00F45A1E">
        <w:t>fremlæggelser.</w:t>
      </w:r>
    </w:p>
    <w:p w14:paraId="5066FB0C" w14:textId="0344565F" w:rsidR="004D5DDA" w:rsidRDefault="00277259" w:rsidP="003D199D">
      <w:pPr>
        <w:pStyle w:val="ListParagraph"/>
        <w:numPr>
          <w:ilvl w:val="0"/>
          <w:numId w:val="1"/>
        </w:numPr>
      </w:pPr>
      <w:r>
        <w:t>Øvelserne er ikke direkte koblet til hinanden og</w:t>
      </w:r>
      <w:bookmarkStart w:id="0" w:name="_GoBack"/>
      <w:bookmarkEnd w:id="0"/>
      <w:r>
        <w:t xml:space="preserve"> kan derfor </w:t>
      </w:r>
      <w:r w:rsidR="00DB1CD2">
        <w:t>sammensættes, som man anser for at være mest hensigtsmæssigt.</w:t>
      </w:r>
    </w:p>
    <w:p w14:paraId="6FB23195" w14:textId="7B040844" w:rsidR="00536BF9" w:rsidRDefault="00536BF9" w:rsidP="003D199D">
      <w:pPr>
        <w:pStyle w:val="ListParagraph"/>
        <w:numPr>
          <w:ilvl w:val="0"/>
          <w:numId w:val="1"/>
        </w:numPr>
      </w:pPr>
      <w:r>
        <w:t xml:space="preserve">Fokus i mange af øvelserne er, at eleverne i høj grad selv planlægger og udfører </w:t>
      </w:r>
      <w:r w:rsidR="00647C01">
        <w:t>eksperimenterne.</w:t>
      </w:r>
    </w:p>
    <w:p w14:paraId="36895278" w14:textId="77777777" w:rsidR="00DE5C28" w:rsidRDefault="00DE5C2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DE5C28" w14:paraId="0955F3B7" w14:textId="77777777" w:rsidTr="005243E5">
        <w:tc>
          <w:tcPr>
            <w:tcW w:w="1250" w:type="pct"/>
            <w:vAlign w:val="center"/>
          </w:tcPr>
          <w:p w14:paraId="4D2D8E0D" w14:textId="77777777" w:rsidR="00DE5C28" w:rsidRPr="00DE5C28" w:rsidRDefault="00DE5C28" w:rsidP="00DE5C28">
            <w:pPr>
              <w:rPr>
                <w:b/>
              </w:rPr>
            </w:pPr>
            <w:r w:rsidRPr="00DE5C28">
              <w:rPr>
                <w:b/>
              </w:rPr>
              <w:t>Labøvelser</w:t>
            </w:r>
          </w:p>
        </w:tc>
        <w:tc>
          <w:tcPr>
            <w:tcW w:w="1250" w:type="pct"/>
            <w:vAlign w:val="center"/>
          </w:tcPr>
          <w:p w14:paraId="67AF54FF" w14:textId="77777777" w:rsidR="00DE5C28" w:rsidRPr="00DE5C28" w:rsidRDefault="00DE5C28" w:rsidP="00DE5C28">
            <w:pPr>
              <w:rPr>
                <w:b/>
              </w:rPr>
            </w:pPr>
            <w:r w:rsidRPr="00DE5C28">
              <w:rPr>
                <w:b/>
              </w:rPr>
              <w:t>Forslag til teori</w:t>
            </w:r>
          </w:p>
        </w:tc>
        <w:tc>
          <w:tcPr>
            <w:tcW w:w="1250" w:type="pct"/>
            <w:vAlign w:val="center"/>
          </w:tcPr>
          <w:p w14:paraId="4C5CB764" w14:textId="77777777" w:rsidR="00DE5C28" w:rsidRPr="00DE5C28" w:rsidRDefault="00DE5C28" w:rsidP="00DE5C28">
            <w:pPr>
              <w:rPr>
                <w:b/>
              </w:rPr>
            </w:pPr>
            <w:r w:rsidRPr="00DE5C28">
              <w:rPr>
                <w:b/>
              </w:rPr>
              <w:t>Artikel fra ”Aktuel Naturvidenskab”</w:t>
            </w:r>
          </w:p>
        </w:tc>
        <w:tc>
          <w:tcPr>
            <w:tcW w:w="1250" w:type="pct"/>
            <w:vAlign w:val="center"/>
          </w:tcPr>
          <w:p w14:paraId="1BF461BB" w14:textId="666C26B8" w:rsidR="00DE5C28" w:rsidRPr="00DE5C28" w:rsidRDefault="007E7FE9" w:rsidP="00DE5C28">
            <w:pPr>
              <w:rPr>
                <w:b/>
              </w:rPr>
            </w:pPr>
            <w:r w:rsidRPr="00DE5C28">
              <w:rPr>
                <w:b/>
              </w:rPr>
              <w:t>NV-mål</w:t>
            </w:r>
          </w:p>
        </w:tc>
      </w:tr>
      <w:tr w:rsidR="00DE5C28" w14:paraId="4F0F62F0" w14:textId="77777777" w:rsidTr="005243E5">
        <w:tc>
          <w:tcPr>
            <w:tcW w:w="1250" w:type="pct"/>
            <w:vAlign w:val="center"/>
          </w:tcPr>
          <w:p w14:paraId="41737079" w14:textId="77777777" w:rsidR="00DE5C28" w:rsidRDefault="00DE5C28" w:rsidP="00DE5C28">
            <w:r>
              <w:t>Mikroskopi – Estimer cellestørrelse</w:t>
            </w:r>
          </w:p>
        </w:tc>
        <w:tc>
          <w:tcPr>
            <w:tcW w:w="1250" w:type="pct"/>
            <w:vAlign w:val="center"/>
          </w:tcPr>
          <w:p w14:paraId="04AEA641" w14:textId="77777777" w:rsidR="00DE5C28" w:rsidRDefault="00DE5C28" w:rsidP="00DE5C28">
            <w:r>
              <w:t>Cellers opbygning</w:t>
            </w:r>
          </w:p>
          <w:p w14:paraId="3B2CCC5A" w14:textId="77777777" w:rsidR="00DE5C28" w:rsidRDefault="00DE5C28" w:rsidP="00DE5C28"/>
        </w:tc>
        <w:tc>
          <w:tcPr>
            <w:tcW w:w="1250" w:type="pct"/>
            <w:vMerge w:val="restart"/>
            <w:vAlign w:val="center"/>
          </w:tcPr>
          <w:p w14:paraId="40A87023" w14:textId="367666A4" w:rsidR="00DE5C28" w:rsidRDefault="003D1611" w:rsidP="00BC707E">
            <w:hyperlink r:id="rId5" w:history="1">
              <w:r w:rsidR="00DE5C28" w:rsidRPr="00BC707E">
                <w:rPr>
                  <w:rStyle w:val="Hyperlink"/>
                  <w:i/>
                </w:rPr>
                <w:t>Se ind i maden</w:t>
              </w:r>
              <w:r w:rsidR="00BC707E" w:rsidRPr="00BC707E">
                <w:rPr>
                  <w:rStyle w:val="Hyperlink"/>
                </w:rPr>
                <w:t>,</w:t>
              </w:r>
              <w:r w:rsidR="00DE5C28" w:rsidRPr="00BC707E">
                <w:rPr>
                  <w:rStyle w:val="Hyperlink"/>
                </w:rPr>
                <w:t xml:space="preserve"> </w:t>
              </w:r>
              <w:r w:rsidR="00892F08" w:rsidRPr="00BC707E">
                <w:rPr>
                  <w:rStyle w:val="Hyperlink"/>
                </w:rPr>
                <w:t xml:space="preserve">nr. </w:t>
              </w:r>
              <w:r w:rsidR="00DE5C28" w:rsidRPr="00BC707E">
                <w:rPr>
                  <w:rStyle w:val="Hyperlink"/>
                </w:rPr>
                <w:t>6 2015</w:t>
              </w:r>
            </w:hyperlink>
            <w:r w:rsidR="00DE5C28">
              <w:t xml:space="preserve"> </w:t>
            </w:r>
          </w:p>
        </w:tc>
        <w:tc>
          <w:tcPr>
            <w:tcW w:w="1250" w:type="pct"/>
            <w:vAlign w:val="center"/>
          </w:tcPr>
          <w:p w14:paraId="0D7AA7D4" w14:textId="77777777" w:rsidR="00DE5C28" w:rsidRDefault="0004522E" w:rsidP="00DE5C28">
            <w:r>
              <w:t>Kvalitativt data</w:t>
            </w:r>
          </w:p>
          <w:p w14:paraId="18E2C795" w14:textId="75CE50C7" w:rsidR="0004522E" w:rsidRDefault="00B7507C" w:rsidP="00DE5C28">
            <w:r>
              <w:t>Matematisk modellering og vurdering af anvendelighed</w:t>
            </w:r>
          </w:p>
        </w:tc>
      </w:tr>
      <w:tr w:rsidR="00DE5C28" w14:paraId="1FFB82CE" w14:textId="77777777" w:rsidTr="005243E5">
        <w:tc>
          <w:tcPr>
            <w:tcW w:w="1250" w:type="pct"/>
            <w:vAlign w:val="center"/>
          </w:tcPr>
          <w:p w14:paraId="1C5379CA" w14:textId="77777777" w:rsidR="00DE5C28" w:rsidRDefault="00DE5C28" w:rsidP="00DE5C28">
            <w:r>
              <w:t>O/V og V/O emulsioner</w:t>
            </w:r>
          </w:p>
        </w:tc>
        <w:tc>
          <w:tcPr>
            <w:tcW w:w="1250" w:type="pct"/>
            <w:vAlign w:val="center"/>
          </w:tcPr>
          <w:p w14:paraId="497403BD" w14:textId="77777777" w:rsidR="00DE5C28" w:rsidRDefault="00DE5C28" w:rsidP="00DE5C28">
            <w:r>
              <w:t>Polære/</w:t>
            </w:r>
            <w:proofErr w:type="spellStart"/>
            <w:r>
              <w:t>upolære</w:t>
            </w:r>
            <w:proofErr w:type="spellEnd"/>
            <w:r>
              <w:t xml:space="preserve"> molekyler</w:t>
            </w:r>
          </w:p>
          <w:p w14:paraId="02C03CD6" w14:textId="77777777" w:rsidR="00DE5C28" w:rsidRDefault="00D9083F" w:rsidP="00DE5C28">
            <w:r>
              <w:t>Blandbarhed af væsker</w:t>
            </w:r>
          </w:p>
          <w:p w14:paraId="23EA82AF" w14:textId="77777777" w:rsidR="00DE5C28" w:rsidRDefault="00DE5C28" w:rsidP="00DE5C28">
            <w:r>
              <w:t>Emulgatorer</w:t>
            </w:r>
          </w:p>
        </w:tc>
        <w:tc>
          <w:tcPr>
            <w:tcW w:w="1250" w:type="pct"/>
            <w:vMerge/>
            <w:vAlign w:val="center"/>
          </w:tcPr>
          <w:p w14:paraId="76A43C1B" w14:textId="77777777" w:rsidR="00DE5C28" w:rsidRDefault="00DE5C28" w:rsidP="00DE5C28"/>
        </w:tc>
        <w:tc>
          <w:tcPr>
            <w:tcW w:w="1250" w:type="pct"/>
            <w:vAlign w:val="center"/>
          </w:tcPr>
          <w:p w14:paraId="15A2C20F" w14:textId="1FEB4AE4" w:rsidR="00DE5C28" w:rsidRDefault="008C1386" w:rsidP="00DE5C28">
            <w:r>
              <w:t>Formulere og teste enkelte hypoteser</w:t>
            </w:r>
          </w:p>
        </w:tc>
      </w:tr>
      <w:tr w:rsidR="00A503F6" w14:paraId="17FC2641" w14:textId="77777777" w:rsidTr="005243E5">
        <w:tc>
          <w:tcPr>
            <w:tcW w:w="1250" w:type="pct"/>
            <w:vAlign w:val="center"/>
          </w:tcPr>
          <w:p w14:paraId="49E8EA85" w14:textId="1C0D77F7" w:rsidR="00A503F6" w:rsidRDefault="00FD27EC" w:rsidP="004C4A10">
            <w:r>
              <w:t>Chilismagning</w:t>
            </w:r>
          </w:p>
        </w:tc>
        <w:tc>
          <w:tcPr>
            <w:tcW w:w="1250" w:type="pct"/>
            <w:vAlign w:val="center"/>
          </w:tcPr>
          <w:p w14:paraId="13A5DEC5" w14:textId="77777777" w:rsidR="00EA4B41" w:rsidRDefault="00EA4B41" w:rsidP="00EA4B41">
            <w:r>
              <w:t>Polære/</w:t>
            </w:r>
            <w:proofErr w:type="spellStart"/>
            <w:r>
              <w:t>upolære</w:t>
            </w:r>
            <w:proofErr w:type="spellEnd"/>
            <w:r>
              <w:t xml:space="preserve"> molekyler</w:t>
            </w:r>
          </w:p>
          <w:p w14:paraId="0779C13E" w14:textId="6DC901FF" w:rsidR="00A503F6" w:rsidRDefault="00EA4B41" w:rsidP="00DE5C28">
            <w:r>
              <w:t>Blandbarhed af væsker</w:t>
            </w:r>
          </w:p>
        </w:tc>
        <w:tc>
          <w:tcPr>
            <w:tcW w:w="1250" w:type="pct"/>
            <w:vAlign w:val="center"/>
          </w:tcPr>
          <w:p w14:paraId="64F72197" w14:textId="40B5FA9F" w:rsidR="00A503F6" w:rsidRDefault="003D1611" w:rsidP="00BC707E">
            <w:hyperlink r:id="rId6" w:history="1">
              <w:r w:rsidR="00065B00" w:rsidRPr="00BC707E">
                <w:rPr>
                  <w:rStyle w:val="Hyperlink"/>
                  <w:i/>
                </w:rPr>
                <w:t>Hvor stærk er chili?</w:t>
              </w:r>
              <w:r w:rsidR="00BC707E" w:rsidRPr="00BC707E">
                <w:rPr>
                  <w:rStyle w:val="Hyperlink"/>
                  <w:i/>
                </w:rPr>
                <w:t>,</w:t>
              </w:r>
              <w:r w:rsidR="00892F08" w:rsidRPr="00BC707E">
                <w:rPr>
                  <w:rStyle w:val="Hyperlink"/>
                </w:rPr>
                <w:t xml:space="preserve"> nr. 1 2017</w:t>
              </w:r>
            </w:hyperlink>
          </w:p>
        </w:tc>
        <w:tc>
          <w:tcPr>
            <w:tcW w:w="1250" w:type="pct"/>
            <w:vAlign w:val="center"/>
          </w:tcPr>
          <w:p w14:paraId="77D0954A" w14:textId="1216EAE8" w:rsidR="00A503F6" w:rsidRDefault="00872D39" w:rsidP="00DE5C28">
            <w:r>
              <w:t>Formulere og teste enkelte hypoteser</w:t>
            </w:r>
          </w:p>
        </w:tc>
      </w:tr>
      <w:tr w:rsidR="00C50EDB" w14:paraId="1108942F" w14:textId="77777777" w:rsidTr="005243E5">
        <w:tc>
          <w:tcPr>
            <w:tcW w:w="1250" w:type="pct"/>
            <w:vAlign w:val="center"/>
          </w:tcPr>
          <w:p w14:paraId="58A022C4" w14:textId="0BAA7068" w:rsidR="00C50EDB" w:rsidRDefault="000655CB" w:rsidP="00DE5C28">
            <w:r>
              <w:t>Smagssansen</w:t>
            </w:r>
          </w:p>
        </w:tc>
        <w:tc>
          <w:tcPr>
            <w:tcW w:w="1250" w:type="pct"/>
            <w:vAlign w:val="center"/>
          </w:tcPr>
          <w:p w14:paraId="1262AB2C" w14:textId="7882B540" w:rsidR="00C50EDB" w:rsidRDefault="00285C79" w:rsidP="00DE5C28">
            <w:r>
              <w:t xml:space="preserve">Grundsmage vs. </w:t>
            </w:r>
            <w:proofErr w:type="spellStart"/>
            <w:r>
              <w:t>flavor</w:t>
            </w:r>
            <w:proofErr w:type="spellEnd"/>
          </w:p>
        </w:tc>
        <w:tc>
          <w:tcPr>
            <w:tcW w:w="1250" w:type="pct"/>
            <w:vAlign w:val="center"/>
          </w:tcPr>
          <w:p w14:paraId="6E4D7506" w14:textId="15B70880" w:rsidR="00AD32CD" w:rsidRDefault="003D1611" w:rsidP="00BF1A59">
            <w:hyperlink r:id="rId7" w:history="1">
              <w:r w:rsidR="00C50EDB" w:rsidRPr="00BF1A59">
                <w:rPr>
                  <w:rStyle w:val="Hyperlink"/>
                  <w:i/>
                </w:rPr>
                <w:t>Velsmag</w:t>
              </w:r>
              <w:r w:rsidR="003344D7" w:rsidRPr="00BF1A59">
                <w:rPr>
                  <w:rStyle w:val="Hyperlink"/>
                  <w:i/>
                </w:rPr>
                <w:t xml:space="preserve"> sådan virker det</w:t>
              </w:r>
              <w:r w:rsidR="00BC707E" w:rsidRPr="00BF1A59">
                <w:rPr>
                  <w:rStyle w:val="Hyperlink"/>
                </w:rPr>
                <w:t>,</w:t>
              </w:r>
              <w:r w:rsidR="00C50EDB" w:rsidRPr="00BF1A59">
                <w:rPr>
                  <w:rStyle w:val="Hyperlink"/>
                </w:rPr>
                <w:t xml:space="preserve"> nr</w:t>
              </w:r>
              <w:r w:rsidR="003344D7" w:rsidRPr="00BF1A59">
                <w:rPr>
                  <w:rStyle w:val="Hyperlink"/>
                </w:rPr>
                <w:t>.</w:t>
              </w:r>
              <w:r w:rsidR="00BF1A59" w:rsidRPr="00BF1A59">
                <w:rPr>
                  <w:rStyle w:val="Hyperlink"/>
                </w:rPr>
                <w:t xml:space="preserve"> 4 2012</w:t>
              </w:r>
            </w:hyperlink>
          </w:p>
        </w:tc>
        <w:tc>
          <w:tcPr>
            <w:tcW w:w="1250" w:type="pct"/>
            <w:vAlign w:val="center"/>
          </w:tcPr>
          <w:p w14:paraId="2C8F504E" w14:textId="16649885" w:rsidR="00C50EDB" w:rsidRDefault="0014476D" w:rsidP="00DE5C28">
            <w:r>
              <w:t>Formulere og teste enkelte hypoteser</w:t>
            </w:r>
          </w:p>
        </w:tc>
      </w:tr>
      <w:tr w:rsidR="00DE5C28" w14:paraId="67D82918" w14:textId="77777777" w:rsidTr="005243E5">
        <w:tc>
          <w:tcPr>
            <w:tcW w:w="1250" w:type="pct"/>
            <w:vAlign w:val="center"/>
          </w:tcPr>
          <w:p w14:paraId="0ED5EC02" w14:textId="5824E90F" w:rsidR="00DE5C28" w:rsidRDefault="00D9083F" w:rsidP="00DE5C28">
            <w:r>
              <w:t>Påvisning af stivelse, protein og fedt i fødevarer</w:t>
            </w:r>
          </w:p>
        </w:tc>
        <w:tc>
          <w:tcPr>
            <w:tcW w:w="1250" w:type="pct"/>
            <w:vAlign w:val="center"/>
          </w:tcPr>
          <w:p w14:paraId="3256D5EE" w14:textId="77777777" w:rsidR="00DE5C28" w:rsidRDefault="00F00200" w:rsidP="00DE5C28">
            <w:r>
              <w:t>Kulhydrater</w:t>
            </w:r>
          </w:p>
          <w:p w14:paraId="52A9834D" w14:textId="77777777" w:rsidR="00F00200" w:rsidRDefault="00F00200" w:rsidP="00DE5C28">
            <w:r>
              <w:t>Fedtstoffer</w:t>
            </w:r>
          </w:p>
          <w:p w14:paraId="122AD3BD" w14:textId="77777777" w:rsidR="00F00200" w:rsidRDefault="00F00200" w:rsidP="00DE5C28">
            <w:r>
              <w:t>Proteiner</w:t>
            </w:r>
          </w:p>
          <w:p w14:paraId="3FCBD408" w14:textId="17AAB341" w:rsidR="000F5746" w:rsidRDefault="000F5746" w:rsidP="00DE5C28">
            <w:r>
              <w:t>Kostråd</w:t>
            </w:r>
          </w:p>
        </w:tc>
        <w:tc>
          <w:tcPr>
            <w:tcW w:w="1250" w:type="pct"/>
            <w:vAlign w:val="center"/>
          </w:tcPr>
          <w:p w14:paraId="73596FC6" w14:textId="5C34F3AA" w:rsidR="00DE5C28" w:rsidRDefault="003D1611" w:rsidP="00DE5C28">
            <w:hyperlink r:id="rId8" w:history="1">
              <w:r w:rsidR="005B0725" w:rsidRPr="004B3A27">
                <w:rPr>
                  <w:rStyle w:val="Hyperlink"/>
                  <w:i/>
                </w:rPr>
                <w:t>Hvorfor skal vi spare på sukkeret</w:t>
              </w:r>
              <w:r w:rsidR="00126648" w:rsidRPr="004B3A27">
                <w:rPr>
                  <w:rStyle w:val="Hyperlink"/>
                  <w:i/>
                </w:rPr>
                <w:t>,</w:t>
              </w:r>
              <w:r w:rsidR="005B0725" w:rsidRPr="004B3A27">
                <w:rPr>
                  <w:rStyle w:val="Hyperlink"/>
                </w:rPr>
                <w:t xml:space="preserve"> nr. 3 200</w:t>
              </w:r>
              <w:r w:rsidR="004B3A27" w:rsidRPr="004B3A27">
                <w:rPr>
                  <w:rStyle w:val="Hyperlink"/>
                </w:rPr>
                <w:t>3</w:t>
              </w:r>
            </w:hyperlink>
          </w:p>
          <w:p w14:paraId="0991FF71" w14:textId="7BCD7CDD" w:rsidR="00935562" w:rsidRDefault="003D1611" w:rsidP="00126648">
            <w:hyperlink r:id="rId9" w:history="1">
              <w:r w:rsidR="00935562" w:rsidRPr="004B3A27">
                <w:rPr>
                  <w:rStyle w:val="Hyperlink"/>
                  <w:i/>
                </w:rPr>
                <w:t>Slaget om kosten</w:t>
              </w:r>
              <w:r w:rsidR="00126648" w:rsidRPr="004B3A27">
                <w:rPr>
                  <w:rStyle w:val="Hyperlink"/>
                </w:rPr>
                <w:t xml:space="preserve">, </w:t>
              </w:r>
              <w:r w:rsidR="00935562" w:rsidRPr="004B3A27">
                <w:rPr>
                  <w:rStyle w:val="Hyperlink"/>
                </w:rPr>
                <w:t xml:space="preserve">nr. </w:t>
              </w:r>
              <w:r w:rsidR="005B5F2B" w:rsidRPr="004B3A27">
                <w:rPr>
                  <w:rStyle w:val="Hyperlink"/>
                </w:rPr>
                <w:t>4 2005</w:t>
              </w:r>
            </w:hyperlink>
          </w:p>
        </w:tc>
        <w:tc>
          <w:tcPr>
            <w:tcW w:w="1250" w:type="pct"/>
            <w:vAlign w:val="center"/>
          </w:tcPr>
          <w:p w14:paraId="41013EEF" w14:textId="35E18755" w:rsidR="00DE5C28" w:rsidRDefault="0004522E" w:rsidP="00DE5C28">
            <w:r>
              <w:t>Kvalitativt data</w:t>
            </w:r>
          </w:p>
        </w:tc>
      </w:tr>
      <w:tr w:rsidR="0048267B" w14:paraId="3DB23060" w14:textId="77777777" w:rsidTr="005243E5">
        <w:tc>
          <w:tcPr>
            <w:tcW w:w="1250" w:type="pct"/>
            <w:vAlign w:val="center"/>
          </w:tcPr>
          <w:p w14:paraId="15954AAA" w14:textId="2F975669" w:rsidR="0048267B" w:rsidRDefault="007E7F6D" w:rsidP="00DE5C28">
            <w:r>
              <w:t>A</w:t>
            </w:r>
            <w:r w:rsidR="00815650">
              <w:t>ntioxidanter</w:t>
            </w:r>
          </w:p>
        </w:tc>
        <w:tc>
          <w:tcPr>
            <w:tcW w:w="1250" w:type="pct"/>
            <w:vAlign w:val="center"/>
          </w:tcPr>
          <w:p w14:paraId="1B5E13BC" w14:textId="33B6F548" w:rsidR="0048267B" w:rsidRDefault="00A334B4" w:rsidP="00DE5C28">
            <w:r>
              <w:t>Vitaminer</w:t>
            </w:r>
          </w:p>
        </w:tc>
        <w:tc>
          <w:tcPr>
            <w:tcW w:w="1250" w:type="pct"/>
            <w:vAlign w:val="center"/>
          </w:tcPr>
          <w:p w14:paraId="00929643" w14:textId="30A0449E" w:rsidR="0048267B" w:rsidRDefault="003D1611" w:rsidP="00DE5C28">
            <w:hyperlink r:id="rId10" w:history="1">
              <w:r w:rsidR="00E075A0" w:rsidRPr="001A0970">
                <w:rPr>
                  <w:rStyle w:val="Hyperlink"/>
                  <w:i/>
                </w:rPr>
                <w:t>Vitaminer til hjernen</w:t>
              </w:r>
              <w:r w:rsidR="001A0970" w:rsidRPr="001A0970">
                <w:rPr>
                  <w:rStyle w:val="Hyperlink"/>
                  <w:i/>
                </w:rPr>
                <w:t>,</w:t>
              </w:r>
              <w:r w:rsidR="00E075A0" w:rsidRPr="001A0970">
                <w:rPr>
                  <w:rStyle w:val="Hyperlink"/>
                </w:rPr>
                <w:t xml:space="preserve"> nr. </w:t>
              </w:r>
              <w:r w:rsidR="00E522F8" w:rsidRPr="001A0970">
                <w:rPr>
                  <w:rStyle w:val="Hyperlink"/>
                </w:rPr>
                <w:t>4 2016</w:t>
              </w:r>
            </w:hyperlink>
          </w:p>
          <w:p w14:paraId="0327D1B7" w14:textId="7083D03B" w:rsidR="00CB4A60" w:rsidRDefault="003D1611" w:rsidP="001A0970">
            <w:hyperlink r:id="rId11" w:history="1">
              <w:r w:rsidR="00CB4A60" w:rsidRPr="001A0970">
                <w:rPr>
                  <w:rStyle w:val="Hyperlink"/>
                  <w:i/>
                </w:rPr>
                <w:t>Hvorfor er antioxidanter sunde?</w:t>
              </w:r>
              <w:r w:rsidR="001A0970" w:rsidRPr="001A0970">
                <w:rPr>
                  <w:rStyle w:val="Hyperlink"/>
                </w:rPr>
                <w:t>,</w:t>
              </w:r>
              <w:r w:rsidR="00CB4A60" w:rsidRPr="001A0970">
                <w:rPr>
                  <w:rStyle w:val="Hyperlink"/>
                </w:rPr>
                <w:t xml:space="preserve"> nr. </w:t>
              </w:r>
              <w:r w:rsidR="00735623" w:rsidRPr="001A0970">
                <w:rPr>
                  <w:rStyle w:val="Hyperlink"/>
                </w:rPr>
                <w:t>1 2014</w:t>
              </w:r>
            </w:hyperlink>
          </w:p>
        </w:tc>
        <w:tc>
          <w:tcPr>
            <w:tcW w:w="1250" w:type="pct"/>
            <w:vAlign w:val="center"/>
          </w:tcPr>
          <w:p w14:paraId="29A518B9" w14:textId="49DBDB98" w:rsidR="0048267B" w:rsidRDefault="009024C9" w:rsidP="00DE5C28">
            <w:r>
              <w:t>Formulere og teste enkelte hypoteser</w:t>
            </w:r>
          </w:p>
        </w:tc>
      </w:tr>
      <w:tr w:rsidR="00CD2CFA" w14:paraId="04779C69" w14:textId="77777777" w:rsidTr="005243E5">
        <w:tc>
          <w:tcPr>
            <w:tcW w:w="1250" w:type="pct"/>
            <w:vAlign w:val="center"/>
          </w:tcPr>
          <w:p w14:paraId="2F774844" w14:textId="072920DB" w:rsidR="00CD2CFA" w:rsidRDefault="00CD2CFA" w:rsidP="00CD2CFA">
            <w:r>
              <w:t>Laktosefri mælk</w:t>
            </w:r>
          </w:p>
        </w:tc>
        <w:tc>
          <w:tcPr>
            <w:tcW w:w="1250" w:type="pct"/>
            <w:vAlign w:val="center"/>
          </w:tcPr>
          <w:p w14:paraId="0E1C1F5D" w14:textId="6CED178A" w:rsidR="00CD2CFA" w:rsidRDefault="00CD2CFA" w:rsidP="00CD2CFA">
            <w:r>
              <w:t>Enzymer</w:t>
            </w:r>
          </w:p>
        </w:tc>
        <w:tc>
          <w:tcPr>
            <w:tcW w:w="1250" w:type="pct"/>
            <w:vAlign w:val="center"/>
          </w:tcPr>
          <w:p w14:paraId="67EBF146" w14:textId="704B0F79" w:rsidR="00CD2CFA" w:rsidRDefault="003D1611" w:rsidP="001A0970">
            <w:hyperlink r:id="rId12" w:history="1">
              <w:r w:rsidR="00E16587" w:rsidRPr="004B3A27">
                <w:rPr>
                  <w:rStyle w:val="Hyperlink"/>
                </w:rPr>
                <w:t>Tang i menneskets tjeneste</w:t>
              </w:r>
              <w:r w:rsidR="001A0970" w:rsidRPr="004B3A27">
                <w:rPr>
                  <w:rStyle w:val="Hyperlink"/>
                </w:rPr>
                <w:t xml:space="preserve">, </w:t>
              </w:r>
              <w:r w:rsidR="00E16587" w:rsidRPr="004B3A27">
                <w:rPr>
                  <w:rStyle w:val="Hyperlink"/>
                </w:rPr>
                <w:t xml:space="preserve">nr. </w:t>
              </w:r>
              <w:r w:rsidR="003D32BB" w:rsidRPr="004B3A27">
                <w:rPr>
                  <w:rStyle w:val="Hyperlink"/>
                </w:rPr>
                <w:t>6 2009</w:t>
              </w:r>
            </w:hyperlink>
          </w:p>
        </w:tc>
        <w:tc>
          <w:tcPr>
            <w:tcW w:w="1250" w:type="pct"/>
            <w:vAlign w:val="center"/>
          </w:tcPr>
          <w:p w14:paraId="6193F700" w14:textId="140C5510" w:rsidR="00CD2CFA" w:rsidRDefault="00117386" w:rsidP="00CD2CFA">
            <w:r>
              <w:t>Kvantitativt data</w:t>
            </w:r>
            <w:r w:rsidR="00345318">
              <w:t xml:space="preserve"> </w:t>
            </w:r>
          </w:p>
        </w:tc>
      </w:tr>
    </w:tbl>
    <w:p w14:paraId="06FC6F6E" w14:textId="77777777" w:rsidR="00DE5C28" w:rsidRDefault="00DE5C28"/>
    <w:sectPr w:rsidR="00DE5C28" w:rsidSect="005243E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75AD2"/>
    <w:multiLevelType w:val="hybridMultilevel"/>
    <w:tmpl w:val="C7D0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28"/>
    <w:rsid w:val="00001D65"/>
    <w:rsid w:val="00043219"/>
    <w:rsid w:val="0004522E"/>
    <w:rsid w:val="000655CB"/>
    <w:rsid w:val="00065B00"/>
    <w:rsid w:val="000B54E3"/>
    <w:rsid w:val="000C40E8"/>
    <w:rsid w:val="000C46C9"/>
    <w:rsid w:val="000D3A17"/>
    <w:rsid w:val="000D5965"/>
    <w:rsid w:val="000F5746"/>
    <w:rsid w:val="00117386"/>
    <w:rsid w:val="00126648"/>
    <w:rsid w:val="00135CBF"/>
    <w:rsid w:val="0014476D"/>
    <w:rsid w:val="00154221"/>
    <w:rsid w:val="001935B8"/>
    <w:rsid w:val="00196A21"/>
    <w:rsid w:val="001A0970"/>
    <w:rsid w:val="001E4E8A"/>
    <w:rsid w:val="00211E2D"/>
    <w:rsid w:val="002259A8"/>
    <w:rsid w:val="0025322F"/>
    <w:rsid w:val="002536E9"/>
    <w:rsid w:val="00277259"/>
    <w:rsid w:val="00282BA4"/>
    <w:rsid w:val="00285C79"/>
    <w:rsid w:val="002A0AF0"/>
    <w:rsid w:val="002A1521"/>
    <w:rsid w:val="002F0EE1"/>
    <w:rsid w:val="00330EE3"/>
    <w:rsid w:val="003344D7"/>
    <w:rsid w:val="00345318"/>
    <w:rsid w:val="00356829"/>
    <w:rsid w:val="0036357E"/>
    <w:rsid w:val="00386CC1"/>
    <w:rsid w:val="003B0ED3"/>
    <w:rsid w:val="003D1611"/>
    <w:rsid w:val="003D199D"/>
    <w:rsid w:val="003D32BB"/>
    <w:rsid w:val="003E0A46"/>
    <w:rsid w:val="00410471"/>
    <w:rsid w:val="004108B2"/>
    <w:rsid w:val="004125C1"/>
    <w:rsid w:val="00450271"/>
    <w:rsid w:val="0048267B"/>
    <w:rsid w:val="004B3A27"/>
    <w:rsid w:val="004C4A10"/>
    <w:rsid w:val="004D5DDA"/>
    <w:rsid w:val="004D65D1"/>
    <w:rsid w:val="004F0FB1"/>
    <w:rsid w:val="00517008"/>
    <w:rsid w:val="00522CB3"/>
    <w:rsid w:val="005243E5"/>
    <w:rsid w:val="00536BF9"/>
    <w:rsid w:val="00583792"/>
    <w:rsid w:val="00596918"/>
    <w:rsid w:val="005B0725"/>
    <w:rsid w:val="005B5F2B"/>
    <w:rsid w:val="005C3026"/>
    <w:rsid w:val="005D5A82"/>
    <w:rsid w:val="00621D4D"/>
    <w:rsid w:val="00647C01"/>
    <w:rsid w:val="0066182E"/>
    <w:rsid w:val="006A34C2"/>
    <w:rsid w:val="006B5399"/>
    <w:rsid w:val="006E339F"/>
    <w:rsid w:val="00735623"/>
    <w:rsid w:val="00780481"/>
    <w:rsid w:val="007E7F6D"/>
    <w:rsid w:val="007E7FE9"/>
    <w:rsid w:val="00815650"/>
    <w:rsid w:val="008725D2"/>
    <w:rsid w:val="00872D39"/>
    <w:rsid w:val="00892F08"/>
    <w:rsid w:val="00893CF5"/>
    <w:rsid w:val="008A3043"/>
    <w:rsid w:val="008C1386"/>
    <w:rsid w:val="008C15BC"/>
    <w:rsid w:val="008F532E"/>
    <w:rsid w:val="009024C9"/>
    <w:rsid w:val="00935562"/>
    <w:rsid w:val="009B7CB3"/>
    <w:rsid w:val="00A056AB"/>
    <w:rsid w:val="00A143D6"/>
    <w:rsid w:val="00A334B4"/>
    <w:rsid w:val="00A503F6"/>
    <w:rsid w:val="00AA6F5A"/>
    <w:rsid w:val="00AC1AFD"/>
    <w:rsid w:val="00AD32CD"/>
    <w:rsid w:val="00B00B72"/>
    <w:rsid w:val="00B7507C"/>
    <w:rsid w:val="00B82990"/>
    <w:rsid w:val="00BC707E"/>
    <w:rsid w:val="00BF1A59"/>
    <w:rsid w:val="00C30153"/>
    <w:rsid w:val="00C365A2"/>
    <w:rsid w:val="00C50EDB"/>
    <w:rsid w:val="00C663ED"/>
    <w:rsid w:val="00C723F6"/>
    <w:rsid w:val="00C84C71"/>
    <w:rsid w:val="00CB4A60"/>
    <w:rsid w:val="00CD2CFA"/>
    <w:rsid w:val="00CE08D5"/>
    <w:rsid w:val="00CF4B63"/>
    <w:rsid w:val="00CF51FC"/>
    <w:rsid w:val="00D65C19"/>
    <w:rsid w:val="00D9083F"/>
    <w:rsid w:val="00DB1CD2"/>
    <w:rsid w:val="00DB560F"/>
    <w:rsid w:val="00DB705F"/>
    <w:rsid w:val="00DC42FD"/>
    <w:rsid w:val="00DE5C28"/>
    <w:rsid w:val="00E075A0"/>
    <w:rsid w:val="00E16587"/>
    <w:rsid w:val="00E25546"/>
    <w:rsid w:val="00E351EF"/>
    <w:rsid w:val="00E50471"/>
    <w:rsid w:val="00E522F8"/>
    <w:rsid w:val="00E7076F"/>
    <w:rsid w:val="00E73278"/>
    <w:rsid w:val="00EA4B41"/>
    <w:rsid w:val="00ED4920"/>
    <w:rsid w:val="00F00200"/>
    <w:rsid w:val="00F212AE"/>
    <w:rsid w:val="00F2468F"/>
    <w:rsid w:val="00F270D9"/>
    <w:rsid w:val="00F45A1E"/>
    <w:rsid w:val="00F90F7B"/>
    <w:rsid w:val="00F94554"/>
    <w:rsid w:val="00FB0576"/>
    <w:rsid w:val="00FC2DBE"/>
    <w:rsid w:val="00FD27EC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B333"/>
  <w14:defaultImageDpi w14:val="32767"/>
  <w15:chartTrackingRefBased/>
  <w15:docId w15:val="{5BB9DD09-DE62-2148-A4E0-2D461BE2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0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leadmin/Aktuel_Naturvidenskab/nr-3/AN3-2003spare-paa-sukker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leadmin/Aktuel_Naturvidenskab/nr-4/an4-2012velsmag.pdf" TargetMode="External"/><Relationship Id="rId12" Type="http://schemas.openxmlformats.org/officeDocument/2006/relationships/hyperlink" Target="https://aktuelnaturvidenskab.dk/fileadmin/Aktuel_Naturvidenskab/nr-6/AN6-2009-ta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tuelnaturvidenskab.dk/fileadmin/Aktuel_Naturvidenskab/nr-1/AN1-2017chili.pdf" TargetMode="External"/><Relationship Id="rId11" Type="http://schemas.openxmlformats.org/officeDocument/2006/relationships/hyperlink" Target="https://aktuelnaturvidenskab.dk/fileadmin/Aktuel_Naturvidenskab/nr-1/AN1-2014antioxi.pdf" TargetMode="External"/><Relationship Id="rId5" Type="http://schemas.openxmlformats.org/officeDocument/2006/relationships/hyperlink" Target="https://aktuelnaturvidenskab.dk/fileadmin/Aktuel_Naturvidenskab/nr-6/AN6-2015mad.pdf" TargetMode="External"/><Relationship Id="rId10" Type="http://schemas.openxmlformats.org/officeDocument/2006/relationships/hyperlink" Target="https://aktuelnaturvidenskab.dk/fileadmin/Aktuel_Naturvidenskab/nr-4/AN4-2016c-hjer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tuelnaturvidenskab.dk/fileadmin/Aktuel_Naturvidenskab/nr-4/AN4-2005kost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355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8</cp:revision>
  <dcterms:created xsi:type="dcterms:W3CDTF">2019-02-04T11:39:00Z</dcterms:created>
  <dcterms:modified xsi:type="dcterms:W3CDTF">2019-05-02T11:35:00Z</dcterms:modified>
</cp:coreProperties>
</file>