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29" w:rsidRDefault="00FF7C29" w:rsidP="00FF7C29">
      <w:pPr>
        <w:pStyle w:val="Heading2"/>
      </w:pPr>
    </w:p>
    <w:p w:rsidR="00466D7A" w:rsidRPr="00466D7A" w:rsidRDefault="00466D7A" w:rsidP="00466D7A">
      <w:pPr>
        <w:pStyle w:val="Heading2"/>
        <w:jc w:val="center"/>
        <w:rPr>
          <w:b/>
          <w:sz w:val="40"/>
          <w:szCs w:val="40"/>
        </w:rPr>
      </w:pPr>
      <w:r w:rsidRPr="00466D7A">
        <w:rPr>
          <w:b/>
          <w:sz w:val="40"/>
          <w:szCs w:val="40"/>
        </w:rPr>
        <w:t>Opgavesæt om kemikalier</w:t>
      </w:r>
    </w:p>
    <w:p w:rsidR="00A96BF4" w:rsidRDefault="00593E99" w:rsidP="00466D7A">
      <w:pPr>
        <w:pStyle w:val="Heading2"/>
        <w:jc w:val="center"/>
      </w:pPr>
      <w:r>
        <w:br/>
      </w:r>
      <w:r w:rsidR="00BF0209">
        <w:t xml:space="preserve">Opgaver til artiklen </w:t>
      </w:r>
      <w:hyperlink r:id="rId7" w:history="1">
        <w:r w:rsidR="00BF0209" w:rsidRPr="00196D78">
          <w:rPr>
            <w:rStyle w:val="Hyperlink"/>
            <w:b/>
          </w:rPr>
          <w:t>Kemikaliernes stamtræ</w:t>
        </w:r>
      </w:hyperlink>
      <w:r w:rsidR="00FF7C29">
        <w:t>, Aktuel Naturvidenskab 6-2014 side 14-18</w:t>
      </w:r>
    </w:p>
    <w:p w:rsidR="00466D7A" w:rsidRPr="00466D7A" w:rsidRDefault="00466D7A" w:rsidP="00466D7A"/>
    <w:p w:rsidR="00FF7C29" w:rsidRDefault="00FF7C29" w:rsidP="00466D7A">
      <w:pPr>
        <w:pStyle w:val="Heading2"/>
        <w:jc w:val="center"/>
      </w:pPr>
      <w:r>
        <w:t>Opgaverne er primært rettet mod C-niveau og repetition af C-niveaupensum på B- og A-niveau. Enkelte dele af opgaverne retter sig mere specifikt mod B- og særligt A-niveau.</w:t>
      </w:r>
      <w:r w:rsidR="0029003B">
        <w:br/>
      </w:r>
    </w:p>
    <w:p w:rsidR="00466D7A" w:rsidRDefault="00466D7A" w:rsidP="00466D7A">
      <w:pPr>
        <w:pStyle w:val="Heading2"/>
        <w:jc w:val="center"/>
      </w:pPr>
      <w:r>
        <w:t xml:space="preserve">Udarbejdet af Jacob Højgaard Thinggaard, Viborg Gymnasium og HF, </w:t>
      </w:r>
      <w:r>
        <w:br/>
        <w:t>for Aktuel Naturvidenskab</w:t>
      </w:r>
    </w:p>
    <w:p w:rsidR="00FF7C29" w:rsidRPr="00FF7C29" w:rsidRDefault="00FF7C29" w:rsidP="0029003B">
      <w:pPr>
        <w:pStyle w:val="Heading1"/>
      </w:pPr>
    </w:p>
    <w:p w:rsidR="00A62A6C" w:rsidRDefault="00DE3E3C" w:rsidP="00A62A6C">
      <w:pPr>
        <w:pStyle w:val="ListParagraph"/>
        <w:numPr>
          <w:ilvl w:val="0"/>
          <w:numId w:val="2"/>
        </w:numPr>
      </w:pPr>
      <w:r>
        <w:t>Tag en tur gennem dit hjem – evt. blot dit eget værelse – og tæl hvor mange</w:t>
      </w:r>
      <w:r w:rsidR="00A62A6C">
        <w:t xml:space="preserve"> forskellige</w:t>
      </w:r>
      <w:r>
        <w:t xml:space="preserve"> produkter</w:t>
      </w:r>
      <w:r w:rsidR="00A62A6C">
        <w:t>/ting</w:t>
      </w:r>
      <w:r>
        <w:t xml:space="preserve">, du med stor sikkerhed kan sige </w:t>
      </w:r>
      <w:r w:rsidR="00A62A6C">
        <w:t xml:space="preserve">oprindeligt </w:t>
      </w:r>
      <w:r>
        <w:t>stammer fra olie.</w:t>
      </w:r>
      <w:r w:rsidR="00A62A6C">
        <w:t xml:space="preserve"> </w:t>
      </w:r>
      <w:r>
        <w:t>Pr</w:t>
      </w:r>
      <w:r w:rsidR="00A62A6C">
        <w:t>øv at inddele produkterne efter</w:t>
      </w:r>
      <w:r>
        <w:t xml:space="preserve"> hvilke af de syv basiskemikalier, de e</w:t>
      </w:r>
      <w:r w:rsidR="00A62A6C">
        <w:t>r fremstillet ud fra.</w:t>
      </w:r>
    </w:p>
    <w:p w:rsidR="00DE3E3C" w:rsidRDefault="00DE3E3C" w:rsidP="00A62A6C">
      <w:pPr>
        <w:pStyle w:val="ListParagraph"/>
        <w:numPr>
          <w:ilvl w:val="1"/>
          <w:numId w:val="2"/>
        </w:numPr>
      </w:pPr>
      <w:r>
        <w:t xml:space="preserve">På plastprodukter er det ofte angivet med en lille forkortelse eller et tal, hvilken type plast det er. Se mere her </w:t>
      </w:r>
      <w:hyperlink r:id="rId8" w:history="1">
        <w:r w:rsidRPr="0083102F">
          <w:rPr>
            <w:rStyle w:val="Hyperlink"/>
          </w:rPr>
          <w:t>http://www.returmedplasten.dk/emneoversigt/mere/plasttyper/</w:t>
        </w:r>
      </w:hyperlink>
      <w:r>
        <w:t xml:space="preserve"> og her </w:t>
      </w:r>
      <w:hyperlink r:id="rId9" w:history="1">
        <w:r w:rsidRPr="0083102F">
          <w:rPr>
            <w:rStyle w:val="Hyperlink"/>
          </w:rPr>
          <w:t>https://kemienidinhverdag.dk/leksikon/plastik/</w:t>
        </w:r>
      </w:hyperlink>
      <w:r w:rsidR="00466D7A">
        <w:rPr>
          <w:rStyle w:val="Hyperlink"/>
        </w:rPr>
        <w:br/>
      </w:r>
    </w:p>
    <w:p w:rsidR="00D12CC5" w:rsidRDefault="00D12CC5" w:rsidP="00D12CC5">
      <w:pPr>
        <w:pStyle w:val="ListParagraph"/>
        <w:numPr>
          <w:ilvl w:val="0"/>
          <w:numId w:val="2"/>
        </w:numPr>
      </w:pPr>
      <w:r>
        <w:t>Ved polymeriseringen af ethen til PE-plast, sprænges C=C-dobbeltbindingen, og ethen-molekylerne</w:t>
      </w:r>
      <w:r w:rsidR="00D35D25">
        <w:t xml:space="preserve"> (nu uden dobbeltbinding)</w:t>
      </w:r>
      <w:r>
        <w:t xml:space="preserve"> bindes sammen i en lang kæde. Prøv at tegne et reaktionsskema med struktur-formler</w:t>
      </w:r>
      <w:r w:rsidR="00D35D25">
        <w:t>, hvor fire</w:t>
      </w:r>
      <w:r>
        <w:t xml:space="preserve"> ethen-molekyler </w:t>
      </w:r>
      <w:r w:rsidR="00D35D25">
        <w:t>polymeriseres til en kæde med i alt 8</w:t>
      </w:r>
      <w:r>
        <w:t xml:space="preserve"> carbonatomer.</w:t>
      </w:r>
      <w:r w:rsidR="00466D7A">
        <w:br/>
      </w:r>
      <w:bookmarkStart w:id="0" w:name="_GoBack"/>
      <w:bookmarkEnd w:id="0"/>
    </w:p>
    <w:p w:rsidR="00D35D25" w:rsidRDefault="00D35D25" w:rsidP="00D12CC5">
      <w:pPr>
        <w:pStyle w:val="ListParagraph"/>
        <w:numPr>
          <w:ilvl w:val="0"/>
          <w:numId w:val="2"/>
        </w:numPr>
      </w:pPr>
      <w:r>
        <w:t>Propen (propylen) kan også polymeriseres til plastik (polypropylen, PP). Tegne et reaktionsskema med strukturformler hvor fire propen-molekyler polymeriseres til en kæde med 8 carbonatomer.</w:t>
      </w:r>
      <w:r w:rsidR="00466D7A">
        <w:br/>
      </w:r>
    </w:p>
    <w:p w:rsidR="00D35D25" w:rsidRDefault="00D12CC5" w:rsidP="00D35D25">
      <w:pPr>
        <w:pStyle w:val="ListParagraph"/>
        <w:numPr>
          <w:ilvl w:val="0"/>
          <w:numId w:val="2"/>
        </w:numPr>
      </w:pPr>
      <w:r>
        <w:t>Acrylsyre har det systematiske navn propensyre. Tegn strukturformlen for propensyre.</w:t>
      </w:r>
      <w:r w:rsidR="00466D7A">
        <w:br/>
      </w:r>
    </w:p>
    <w:p w:rsidR="003D6D39" w:rsidRDefault="00BF0209" w:rsidP="00BF0209">
      <w:pPr>
        <w:pStyle w:val="ListParagraph"/>
        <w:numPr>
          <w:ilvl w:val="0"/>
          <w:numId w:val="2"/>
        </w:numPr>
      </w:pPr>
      <w:r>
        <w:t>Ethanol kan fremstilles syntetisk ved additi</w:t>
      </w:r>
      <w:r w:rsidR="003D6D39">
        <w:t>on af vand til ethen (ethylen).</w:t>
      </w:r>
    </w:p>
    <w:p w:rsidR="00BF0209" w:rsidRDefault="00BF0209" w:rsidP="003D6D39">
      <w:pPr>
        <w:pStyle w:val="ListParagraph"/>
        <w:numPr>
          <w:ilvl w:val="1"/>
          <w:numId w:val="2"/>
        </w:numPr>
      </w:pPr>
      <w:r>
        <w:t xml:space="preserve">Tegn reaktionsskemaet for denne </w:t>
      </w:r>
      <w:r w:rsidR="003D6D39">
        <w:t xml:space="preserve">beskrevne syntetiske </w:t>
      </w:r>
      <w:r>
        <w:t>reaktion.</w:t>
      </w:r>
    </w:p>
    <w:p w:rsidR="003D6D39" w:rsidRDefault="003D6D39" w:rsidP="003D6D39">
      <w:pPr>
        <w:pStyle w:val="ListParagraph"/>
        <w:numPr>
          <w:ilvl w:val="1"/>
          <w:numId w:val="2"/>
        </w:numPr>
      </w:pPr>
      <w:r>
        <w:t>Hvordan dannes ethanolen i fx vin og øl? Find frem til reaktionsskemaet for denne reaktion.</w:t>
      </w:r>
      <w:r w:rsidR="00466D7A">
        <w:br/>
      </w:r>
    </w:p>
    <w:p w:rsidR="00BF0209" w:rsidRDefault="00BF0209" w:rsidP="00BF0209">
      <w:pPr>
        <w:pStyle w:val="ListParagraph"/>
        <w:numPr>
          <w:ilvl w:val="0"/>
          <w:numId w:val="2"/>
        </w:numPr>
      </w:pPr>
      <w:r>
        <w:t>Med C</w:t>
      </w:r>
      <w:r>
        <w:rPr>
          <w:vertAlign w:val="subscript"/>
        </w:rPr>
        <w:t>4</w:t>
      </w:r>
      <w:r>
        <w:t xml:space="preserve">-olefinerne menes </w:t>
      </w:r>
      <w:r w:rsidR="007E7C09">
        <w:t xml:space="preserve">typisk </w:t>
      </w:r>
      <w:r>
        <w:t>stofferne med de systematiske navne buta</w:t>
      </w:r>
      <w:r w:rsidR="00D12CC5">
        <w:t>-1,3-</w:t>
      </w:r>
      <w:r>
        <w:t>dien, 2-methyl</w:t>
      </w:r>
      <w:r w:rsidR="00D12CC5">
        <w:t>prop</w:t>
      </w:r>
      <w:r>
        <w:t>en</w:t>
      </w:r>
      <w:r w:rsidR="00D12CC5">
        <w:t xml:space="preserve"> (isobuten)</w:t>
      </w:r>
      <w:r>
        <w:t>, but-1-en, (Z)-but-2-en og (E)-but-2-en</w:t>
      </w:r>
      <w:r w:rsidR="00D12CC5">
        <w:t xml:space="preserve"> (</w:t>
      </w:r>
      <w:r w:rsidR="003D6D39">
        <w:t>de to sidst</w:t>
      </w:r>
      <w:r w:rsidR="00D12CC5">
        <w:t xml:space="preserve"> </w:t>
      </w:r>
      <w:r w:rsidR="003D6D39">
        <w:t>navn</w:t>
      </w:r>
      <w:r w:rsidR="00D12CC5">
        <w:t xml:space="preserve">gives også hhv. </w:t>
      </w:r>
      <w:r w:rsidR="00D12CC5" w:rsidRPr="00D12CC5">
        <w:rPr>
          <w:i/>
        </w:rPr>
        <w:t>cis</w:t>
      </w:r>
      <w:r w:rsidR="00D12CC5">
        <w:t>-but-2-en</w:t>
      </w:r>
      <w:r w:rsidR="00D12CC5" w:rsidRPr="00D12CC5">
        <w:rPr>
          <w:i/>
        </w:rPr>
        <w:t xml:space="preserve"> </w:t>
      </w:r>
      <w:r w:rsidR="00D12CC5" w:rsidRPr="003D6D39">
        <w:t>og</w:t>
      </w:r>
      <w:r w:rsidR="00D12CC5">
        <w:rPr>
          <w:i/>
        </w:rPr>
        <w:t xml:space="preserve"> </w:t>
      </w:r>
      <w:r w:rsidR="00D12CC5" w:rsidRPr="00D12CC5">
        <w:rPr>
          <w:i/>
        </w:rPr>
        <w:t>trans</w:t>
      </w:r>
      <w:r w:rsidR="00D12CC5">
        <w:t>-but-2-en)</w:t>
      </w:r>
      <w:r>
        <w:t>.</w:t>
      </w:r>
    </w:p>
    <w:p w:rsidR="00BF0209" w:rsidRDefault="00BF0209" w:rsidP="00BF0209">
      <w:pPr>
        <w:pStyle w:val="ListParagraph"/>
        <w:numPr>
          <w:ilvl w:val="1"/>
          <w:numId w:val="2"/>
        </w:numPr>
      </w:pPr>
      <w:r>
        <w:t>Tegn strukturformlerne for de 5 stoffer.</w:t>
      </w:r>
    </w:p>
    <w:p w:rsidR="00BF0209" w:rsidRDefault="00D12CC5" w:rsidP="00BF0209">
      <w:pPr>
        <w:pStyle w:val="ListParagraph"/>
        <w:numPr>
          <w:ilvl w:val="1"/>
          <w:numId w:val="2"/>
        </w:numPr>
      </w:pPr>
      <w:r>
        <w:t>Der kan laves flere</w:t>
      </w:r>
      <w:r w:rsidR="00BF0209">
        <w:t xml:space="preserve"> </w:t>
      </w:r>
      <w:r>
        <w:t>alken</w:t>
      </w:r>
      <w:r w:rsidR="00A62A6C">
        <w:t>er med fire carbonatomer. Tegn og navngiv disse stoffer</w:t>
      </w:r>
      <w:r w:rsidR="00BF0209">
        <w:t>.</w:t>
      </w:r>
    </w:p>
    <w:p w:rsidR="00D12CC5" w:rsidRDefault="00D12CC5" w:rsidP="00D12CC5">
      <w:pPr>
        <w:pStyle w:val="ListParagraph"/>
        <w:numPr>
          <w:ilvl w:val="1"/>
          <w:numId w:val="2"/>
        </w:numPr>
      </w:pPr>
      <w:r>
        <w:t>Hvad dækker betegnelsen ’olefin’ mon over?</w:t>
      </w:r>
    </w:p>
    <w:p w:rsidR="00D12CC5" w:rsidRDefault="00D12CC5" w:rsidP="00D12CC5">
      <w:pPr>
        <w:pStyle w:val="ListParagraph"/>
        <w:numPr>
          <w:ilvl w:val="1"/>
          <w:numId w:val="2"/>
        </w:numPr>
      </w:pPr>
      <w:r>
        <w:t xml:space="preserve">Giv en forklaring på, at 2-methylpropen også kaldes for </w:t>
      </w:r>
      <w:r>
        <w:rPr>
          <w:i/>
        </w:rPr>
        <w:t>isobuten</w:t>
      </w:r>
      <w:r>
        <w:t>.</w:t>
      </w:r>
      <w:r w:rsidR="00466D7A">
        <w:br/>
      </w:r>
    </w:p>
    <w:p w:rsidR="00204A23" w:rsidRDefault="009E0E9F" w:rsidP="00204A23">
      <w:pPr>
        <w:pStyle w:val="ListParagraph"/>
        <w:numPr>
          <w:ilvl w:val="0"/>
          <w:numId w:val="2"/>
        </w:numPr>
      </w:pPr>
      <w:r>
        <w:t>Gassen a</w:t>
      </w:r>
      <w:r w:rsidR="00204A23">
        <w:t>mmoniak (NH</w:t>
      </w:r>
      <w:r w:rsidR="00204A23">
        <w:rPr>
          <w:vertAlign w:val="subscript"/>
        </w:rPr>
        <w:t>3</w:t>
      </w:r>
      <w:r w:rsidR="00204A23">
        <w:t>) anvendes til mange forskellige ting, heriblandt især fremstilling af kunstgødning. Globalt produceres der årligt</w:t>
      </w:r>
      <w:r>
        <w:t xml:space="preserve"> i omegnen af 160</w:t>
      </w:r>
      <w:r w:rsidR="00204A23">
        <w:t>.000.000 ton ammoniak i industrien. I ammoniak</w:t>
      </w:r>
      <w:r w:rsidR="00D35D25">
        <w:t>syntesen reagerer dinitrogen med dihydrogen</w:t>
      </w:r>
      <w:r w:rsidR="00204A23">
        <w:t xml:space="preserve">. Sidstnævnte kan fremstilles </w:t>
      </w:r>
      <w:r>
        <w:t>i to</w:t>
      </w:r>
      <w:r w:rsidR="00204A23">
        <w:t xml:space="preserve"> trin ved reaktion mellem methan og vand. Det første trin er syntesen af såkaldt s</w:t>
      </w:r>
      <w:r w:rsidR="00C53037">
        <w:t>yn-gas</w:t>
      </w:r>
      <w:r>
        <w:t xml:space="preserve"> (syntetisk gas). I andet trin forbruges den dannede carbonmonoxid under frem</w:t>
      </w:r>
      <w:r w:rsidR="000D3C12">
        <w:t xml:space="preserve">stilling af </w:t>
      </w:r>
      <w:r w:rsidR="00D35D25">
        <w:t>mere</w:t>
      </w:r>
      <w:r w:rsidR="000D3C12">
        <w:t xml:space="preserve"> hydrogen.</w:t>
      </w:r>
    </w:p>
    <w:p w:rsidR="000D3C12" w:rsidRDefault="000D3C12" w:rsidP="000D3C12">
      <w:pPr>
        <w:pStyle w:val="ListParagraph"/>
      </w:pPr>
    </w:p>
    <w:tbl>
      <w:tblPr>
        <w:tblStyle w:val="TableGrid"/>
        <w:tblW w:w="4834" w:type="dxa"/>
        <w:tblInd w:w="2881" w:type="dxa"/>
        <w:tblLook w:val="04A0" w:firstRow="1" w:lastRow="0" w:firstColumn="1" w:lastColumn="0" w:noHBand="0" w:noVBand="1"/>
      </w:tblPr>
      <w:tblGrid>
        <w:gridCol w:w="832"/>
        <w:gridCol w:w="4002"/>
      </w:tblGrid>
      <w:tr w:rsidR="009E0E9F" w:rsidTr="000D3C12">
        <w:tc>
          <w:tcPr>
            <w:tcW w:w="832" w:type="dxa"/>
          </w:tcPr>
          <w:p w:rsidR="009E0E9F" w:rsidRDefault="009E0E9F" w:rsidP="009E0E9F">
            <w:pPr>
              <w:pStyle w:val="ListParagraph"/>
              <w:ind w:left="0"/>
            </w:pPr>
            <w:r>
              <w:t>Trin 1</w:t>
            </w:r>
          </w:p>
        </w:tc>
        <w:tc>
          <w:tcPr>
            <w:tcW w:w="4002" w:type="dxa"/>
          </w:tcPr>
          <w:p w:rsidR="009E0E9F" w:rsidRDefault="000D3C12" w:rsidP="009E0E9F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→</m:t>
                </m:r>
                <m:r>
                  <w:rPr>
                    <w:rFonts w:ascii="Cambria Math" w:hAnsi="Cambria Math"/>
                  </w:rPr>
                  <m:t>CO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Cambria Math"/>
                    <w:lang w:val="en-US"/>
                  </w:rPr>
                  <m:t>)</m:t>
                </m:r>
              </m:oMath>
            </m:oMathPara>
          </w:p>
        </w:tc>
      </w:tr>
      <w:tr w:rsidR="009E0E9F" w:rsidTr="000D3C12">
        <w:tc>
          <w:tcPr>
            <w:tcW w:w="832" w:type="dxa"/>
          </w:tcPr>
          <w:p w:rsidR="009E0E9F" w:rsidRDefault="009E0E9F" w:rsidP="009E0E9F">
            <w:pPr>
              <w:pStyle w:val="ListParagraph"/>
              <w:ind w:left="0"/>
            </w:pPr>
            <w:r>
              <w:t>Trin 2</w:t>
            </w:r>
          </w:p>
        </w:tc>
        <w:tc>
          <w:tcPr>
            <w:tcW w:w="4002" w:type="dxa"/>
          </w:tcPr>
          <w:p w:rsidR="009E0E9F" w:rsidRDefault="000D3C12" w:rsidP="009E0E9F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→</m:t>
                </m:r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Cambria Math"/>
                    <w:lang w:val="en-US"/>
                  </w:rPr>
                  <m:t>)</m:t>
                </m:r>
              </m:oMath>
            </m:oMathPara>
          </w:p>
        </w:tc>
      </w:tr>
      <w:tr w:rsidR="009E0E9F" w:rsidTr="000D3C12">
        <w:tc>
          <w:tcPr>
            <w:tcW w:w="832" w:type="dxa"/>
          </w:tcPr>
          <w:p w:rsidR="009E0E9F" w:rsidRDefault="009E0E9F" w:rsidP="009E0E9F">
            <w:pPr>
              <w:pStyle w:val="ListParagraph"/>
              <w:ind w:left="0"/>
            </w:pPr>
            <w:r>
              <w:t>Samlet</w:t>
            </w:r>
          </w:p>
        </w:tc>
        <w:tc>
          <w:tcPr>
            <w:tcW w:w="4002" w:type="dxa"/>
          </w:tcPr>
          <w:p w:rsidR="009E0E9F" w:rsidRDefault="000D3C12" w:rsidP="009E0E9F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→</m:t>
                </m:r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Cambria Math"/>
                    <w:lang w:val="en-US"/>
                  </w:rPr>
                  <m:t>)</m:t>
                </m:r>
              </m:oMath>
            </m:oMathPara>
          </w:p>
        </w:tc>
      </w:tr>
    </w:tbl>
    <w:p w:rsidR="0040484B" w:rsidRPr="000D3C12" w:rsidRDefault="009E0E9F" w:rsidP="000D3C12">
      <w:pPr>
        <w:rPr>
          <w:i/>
          <w:lang w:val="en-US"/>
        </w:rPr>
      </w:pPr>
      <w:r w:rsidRPr="000D3C12">
        <w:rPr>
          <w:rFonts w:eastAsiaTheme="minorEastAsia"/>
          <w:i/>
          <w:iCs/>
          <w:lang w:val="en-US"/>
        </w:rPr>
        <w:tab/>
      </w:r>
    </w:p>
    <w:p w:rsidR="00C53037" w:rsidRPr="000D3C12" w:rsidRDefault="00C53037" w:rsidP="00C53037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>A</w:t>
      </w:r>
      <w:r w:rsidR="009E0E9F">
        <w:rPr>
          <w:rFonts w:eastAsiaTheme="minorEastAsia"/>
        </w:rPr>
        <w:t>fstem reaktionsskemaerne</w:t>
      </w:r>
      <w:r w:rsidR="00094CE8">
        <w:rPr>
          <w:rFonts w:eastAsiaTheme="minorEastAsia"/>
        </w:rPr>
        <w:t xml:space="preserve"> for begge trin og den samlede reaktion</w:t>
      </w:r>
      <w:r w:rsidR="00204A23">
        <w:rPr>
          <w:rFonts w:eastAsiaTheme="minorEastAsia"/>
        </w:rPr>
        <w:t>.</w:t>
      </w:r>
    </w:p>
    <w:p w:rsidR="000D3C12" w:rsidRPr="00C53037" w:rsidRDefault="000D3C12" w:rsidP="00C53037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 xml:space="preserve">Vis at </w:t>
      </w:r>
      <w:r w:rsidR="00094CE8">
        <w:rPr>
          <w:rFonts w:eastAsiaTheme="minorEastAsia"/>
        </w:rPr>
        <w:t>trin 1 og trin 2 til</w:t>
      </w:r>
      <w:r>
        <w:rPr>
          <w:rFonts w:eastAsiaTheme="minorEastAsia"/>
        </w:rPr>
        <w:t>sammen giver den samlede reaktion.</w:t>
      </w:r>
    </w:p>
    <w:p w:rsidR="009E0E9F" w:rsidRDefault="00204A23" w:rsidP="009E0E9F">
      <w:pPr>
        <w:pStyle w:val="ListParagraph"/>
        <w:numPr>
          <w:ilvl w:val="1"/>
          <w:numId w:val="2"/>
        </w:numPr>
      </w:pPr>
      <w:r>
        <w:t xml:space="preserve">Trin 1 er </w:t>
      </w:r>
      <w:r w:rsidR="009E0E9F">
        <w:t xml:space="preserve">en </w:t>
      </w:r>
      <w:r>
        <w:t>endoterm</w:t>
      </w:r>
      <w:r w:rsidR="009E0E9F">
        <w:t xml:space="preserve"> proces</w:t>
      </w:r>
      <w:r>
        <w:t>. Forklar hvad det betyder, samt hvorfor giver det god mening, at ma</w:t>
      </w:r>
      <w:r w:rsidR="00D35D25">
        <w:t xml:space="preserve">n udfører processen </w:t>
      </w:r>
      <w:r w:rsidR="009E0E9F">
        <w:t xml:space="preserve">ved konstant høj temperatur </w:t>
      </w:r>
      <w:r>
        <w:t xml:space="preserve">(850 </w:t>
      </w:r>
      <w:r w:rsidRPr="00204A23">
        <w:rPr>
          <w:rFonts w:cstheme="minorHAnsi"/>
        </w:rPr>
        <w:t>°</w:t>
      </w:r>
      <w:r>
        <w:t>C)</w:t>
      </w:r>
      <w:r w:rsidR="009E0E9F">
        <w:t>.</w:t>
      </w:r>
    </w:p>
    <w:p w:rsidR="009E0E9F" w:rsidRDefault="009E0E9F" w:rsidP="009E0E9F">
      <w:pPr>
        <w:pStyle w:val="ListParagraph"/>
        <w:numPr>
          <w:ilvl w:val="1"/>
          <w:numId w:val="2"/>
        </w:numPr>
      </w:pPr>
      <w:r>
        <w:lastRenderedPageBreak/>
        <w:t>Trin 2 er en exoterm proces</w:t>
      </w:r>
      <w:r w:rsidR="000D3C12">
        <w:t>. Forklar hvad det betyder</w:t>
      </w:r>
      <w:r w:rsidR="00D35D25">
        <w:t>,</w:t>
      </w:r>
      <w:r w:rsidR="000D3C12">
        <w:t xml:space="preserve"> samt hvorfor det </w:t>
      </w:r>
      <w:r w:rsidR="00D35D25">
        <w:t>både kan være en fordel og en ulempe</w:t>
      </w:r>
      <w:r w:rsidR="000D3C12">
        <w:t xml:space="preserve"> at udføre denne reaktion ved høj temperatur.</w:t>
      </w:r>
    </w:p>
    <w:p w:rsidR="00A62A6C" w:rsidRDefault="00A62A6C" w:rsidP="009E0E9F">
      <w:pPr>
        <w:pStyle w:val="ListParagraph"/>
        <w:numPr>
          <w:ilvl w:val="1"/>
          <w:numId w:val="2"/>
        </w:numPr>
      </w:pPr>
      <w:r>
        <w:t xml:space="preserve">Beregn </w:t>
      </w:r>
      <m:oMath>
        <m:r>
          <m:rPr>
            <m:sty m:val="p"/>
          </m:rPr>
          <w:rPr>
            <w:rFonts w:ascii="Cambria Math" w:hAnsi="Cambria Math"/>
          </w:rPr>
          <m:t>Δ</m:t>
        </m:r>
        <m:sSubSup>
          <m:sSubSupPr>
            <m:ctrlPr>
              <w:rPr>
                <w:rFonts w:ascii="Cambria Math" w:eastAsia="Arial Unicode MS" w:hAnsi="Cambria Math" w:cs="Arial Unicode MS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eastAsia="Arial Unicode MS" w:hAnsi="Cambria Math" w:cs="Arial Unicode MS" w:hint="eastAsia"/>
              </w:rPr>
              <m:t>ɵ</m:t>
            </m:r>
          </m:sup>
        </m:sSubSup>
      </m:oMath>
      <w:r>
        <w:t xml:space="preserve"> for henholdsvis trin 1 og trin 2. Kommentér resultaterne.</w:t>
      </w:r>
    </w:p>
    <w:p w:rsidR="00A62A6C" w:rsidRPr="00A62A6C" w:rsidRDefault="00A62A6C" w:rsidP="009E0E9F">
      <w:pPr>
        <w:pStyle w:val="ListParagraph"/>
        <w:numPr>
          <w:ilvl w:val="1"/>
          <w:numId w:val="2"/>
        </w:numPr>
      </w:pPr>
      <w:r>
        <w:t xml:space="preserve">Vis at </w:t>
      </w:r>
      <m:oMath>
        <m:r>
          <m:rPr>
            <m:sty m:val="p"/>
          </m:rPr>
          <w:rPr>
            <w:rFonts w:ascii="Cambria Math" w:hAnsi="Cambria Math"/>
          </w:rPr>
          <m:t>Δ</m:t>
        </m:r>
        <m:sSubSup>
          <m:sSubSupPr>
            <m:ctrlPr>
              <w:rPr>
                <w:rFonts w:ascii="Cambria Math" w:eastAsia="Arial Unicode MS" w:hAnsi="Cambria Math" w:cs="Arial Unicode MS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eastAsia="Arial Unicode MS" w:hAnsi="Cambria Math" w:cs="Arial Unicode MS" w:hint="eastAsia"/>
              </w:rPr>
              <m:t>ɵ</m:t>
            </m:r>
          </m:sup>
        </m:sSubSup>
        <m:d>
          <m:dPr>
            <m:ctrlPr>
              <w:rPr>
                <w:rFonts w:ascii="Cambria Math" w:eastAsia="Arial Unicode MS" w:hAnsi="Cambria Math" w:cs="Arial Unicode MS"/>
                <w:i/>
              </w:rPr>
            </m:ctrlPr>
          </m:dPr>
          <m:e>
            <m:r>
              <w:rPr>
                <w:rFonts w:ascii="Cambria Math" w:eastAsia="Arial Unicode MS" w:hAnsi="Cambria Math" w:cs="Arial Unicode MS"/>
              </w:rPr>
              <m:t>samlet</m:t>
            </m:r>
          </m:e>
        </m:d>
        <m:r>
          <w:rPr>
            <w:rFonts w:ascii="Cambria Math" w:eastAsia="Arial Unicode MS" w:hAnsi="Cambria Math" w:cs="Arial Unicode MS"/>
          </w:rPr>
          <m:t>=</m:t>
        </m:r>
        <m:r>
          <m:rPr>
            <m:sty m:val="p"/>
          </m:rPr>
          <w:rPr>
            <w:rFonts w:ascii="Cambria Math" w:hAnsi="Cambria Math"/>
          </w:rPr>
          <m:t>Δ</m:t>
        </m:r>
        <m:sSubSup>
          <m:sSubSupPr>
            <m:ctrlPr>
              <w:rPr>
                <w:rFonts w:ascii="Cambria Math" w:eastAsia="Arial Unicode MS" w:hAnsi="Cambria Math" w:cs="Arial Unicode MS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eastAsia="Arial Unicode MS" w:hAnsi="Cambria Math" w:cs="Arial Unicode MS" w:hint="eastAsia"/>
              </w:rPr>
              <m:t>ɵ</m:t>
            </m:r>
          </m:sup>
        </m:sSubSup>
        <m:d>
          <m:dPr>
            <m:ctrlPr>
              <w:rPr>
                <w:rFonts w:ascii="Cambria Math" w:eastAsia="Arial Unicode MS" w:hAnsi="Cambria Math" w:cs="Arial Unicode MS"/>
                <w:i/>
              </w:rPr>
            </m:ctrlPr>
          </m:dPr>
          <m:e>
            <m:r>
              <w:rPr>
                <w:rFonts w:ascii="Cambria Math" w:eastAsia="Arial Unicode MS" w:hAnsi="Cambria Math" w:cs="Arial Unicode MS"/>
              </w:rPr>
              <m:t>trin 1</m:t>
            </m:r>
          </m:e>
        </m:d>
        <m:r>
          <w:rPr>
            <w:rFonts w:ascii="Cambria Math" w:eastAsia="Arial Unicode MS" w:hAnsi="Cambria Math" w:cs="Arial Unicode MS"/>
          </w:rPr>
          <m:t>+</m:t>
        </m:r>
        <m:r>
          <m:rPr>
            <m:sty m:val="p"/>
          </m:rPr>
          <w:rPr>
            <w:rFonts w:ascii="Cambria Math" w:hAnsi="Cambria Math"/>
          </w:rPr>
          <m:t>Δ</m:t>
        </m:r>
        <m:sSubSup>
          <m:sSubSupPr>
            <m:ctrlPr>
              <w:rPr>
                <w:rFonts w:ascii="Cambria Math" w:eastAsia="Arial Unicode MS" w:hAnsi="Cambria Math" w:cs="Arial Unicode MS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eastAsia="Arial Unicode MS" w:hAnsi="Cambria Math" w:cs="Arial Unicode MS" w:hint="eastAsia"/>
              </w:rPr>
              <m:t>ɵ</m:t>
            </m:r>
          </m:sup>
        </m:sSubSup>
        <m:r>
          <w:rPr>
            <w:rFonts w:ascii="Cambria Math" w:eastAsia="Arial Unicode MS" w:hAnsi="Cambria Math" w:cs="Arial Unicode MS"/>
          </w:rPr>
          <m:t>(trin2)</m:t>
        </m:r>
      </m:oMath>
      <w:r>
        <w:rPr>
          <w:rFonts w:eastAsiaTheme="minorEastAsia"/>
        </w:rPr>
        <w:t xml:space="preserve"> og forklar, hvorfor dette gælder.</w:t>
      </w:r>
    </w:p>
    <w:p w:rsidR="00A62A6C" w:rsidRDefault="00A62A6C" w:rsidP="009E0E9F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 xml:space="preserve">Er </w:t>
      </w:r>
      <w:r>
        <w:t xml:space="preserve">850 </w:t>
      </w:r>
      <w:r w:rsidRPr="00204A23">
        <w:rPr>
          <w:rFonts w:cstheme="minorHAnsi"/>
        </w:rPr>
        <w:t>°</w:t>
      </w:r>
      <w:r>
        <w:t>C et fornuftigt valg af temperatur?</w:t>
      </w:r>
    </w:p>
    <w:p w:rsidR="007E7C09" w:rsidRDefault="007E7C09"/>
    <w:p w:rsidR="00BF0209" w:rsidRDefault="00BF0209">
      <w:r>
        <w:t>Forslag til supplerende</w:t>
      </w:r>
      <w:r w:rsidR="0040484B">
        <w:t xml:space="preserve"> litteratur</w:t>
      </w:r>
      <w:r>
        <w:t>:</w:t>
      </w:r>
    </w:p>
    <w:p w:rsidR="00BF0209" w:rsidRDefault="00BF0209" w:rsidP="00BF0209">
      <w:pPr>
        <w:pStyle w:val="ListParagraph"/>
        <w:numPr>
          <w:ilvl w:val="0"/>
          <w:numId w:val="1"/>
        </w:numPr>
      </w:pPr>
      <w:r>
        <w:t>Aurum, Kemi for gymnasiet 1, side 154-163</w:t>
      </w:r>
    </w:p>
    <w:p w:rsidR="0040484B" w:rsidRDefault="0040484B" w:rsidP="00BF0209">
      <w:pPr>
        <w:pStyle w:val="ListParagraph"/>
        <w:numPr>
          <w:ilvl w:val="0"/>
          <w:numId w:val="1"/>
        </w:numPr>
      </w:pPr>
      <w:r>
        <w:t>Se andre forslag i artiklen</w:t>
      </w:r>
    </w:p>
    <w:sectPr w:rsidR="004048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BA" w:rsidRDefault="007875BA" w:rsidP="00A62A6C">
      <w:pPr>
        <w:spacing w:after="0" w:line="240" w:lineRule="auto"/>
      </w:pPr>
      <w:r>
        <w:separator/>
      </w:r>
    </w:p>
  </w:endnote>
  <w:endnote w:type="continuationSeparator" w:id="0">
    <w:p w:rsidR="007875BA" w:rsidRDefault="007875BA" w:rsidP="00A6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BA" w:rsidRDefault="007875BA" w:rsidP="00A62A6C">
      <w:pPr>
        <w:spacing w:after="0" w:line="240" w:lineRule="auto"/>
      </w:pPr>
      <w:r>
        <w:separator/>
      </w:r>
    </w:p>
  </w:footnote>
  <w:footnote w:type="continuationSeparator" w:id="0">
    <w:p w:rsidR="007875BA" w:rsidRDefault="007875BA" w:rsidP="00A6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717BD"/>
    <w:multiLevelType w:val="hybridMultilevel"/>
    <w:tmpl w:val="C54A1B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258AE"/>
    <w:multiLevelType w:val="hybridMultilevel"/>
    <w:tmpl w:val="B2A4BABA"/>
    <w:lvl w:ilvl="0" w:tplc="9BE8B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9"/>
    <w:rsid w:val="00094CE8"/>
    <w:rsid w:val="000D3C12"/>
    <w:rsid w:val="00196D78"/>
    <w:rsid w:val="00204A23"/>
    <w:rsid w:val="0029003B"/>
    <w:rsid w:val="003D6D39"/>
    <w:rsid w:val="0040484B"/>
    <w:rsid w:val="00466D7A"/>
    <w:rsid w:val="00593E99"/>
    <w:rsid w:val="007875BA"/>
    <w:rsid w:val="007E7C09"/>
    <w:rsid w:val="009E0E9F"/>
    <w:rsid w:val="00A62A6C"/>
    <w:rsid w:val="00A96BF4"/>
    <w:rsid w:val="00BF0209"/>
    <w:rsid w:val="00C53037"/>
    <w:rsid w:val="00CB1FFB"/>
    <w:rsid w:val="00D12CC5"/>
    <w:rsid w:val="00D35D25"/>
    <w:rsid w:val="00D63CB6"/>
    <w:rsid w:val="00DE3E3C"/>
    <w:rsid w:val="00EC349E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50EFD-F603-4662-A3D0-1117397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037"/>
    <w:rPr>
      <w:color w:val="808080"/>
    </w:rPr>
  </w:style>
  <w:style w:type="table" w:styleId="TableGrid">
    <w:name w:val="Table Grid"/>
    <w:basedOn w:val="TableNormal"/>
    <w:uiPriority w:val="39"/>
    <w:rsid w:val="009E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E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E3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62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2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2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62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6C"/>
  </w:style>
  <w:style w:type="paragraph" w:styleId="Footer">
    <w:name w:val="footer"/>
    <w:basedOn w:val="Normal"/>
    <w:link w:val="FooterChar"/>
    <w:uiPriority w:val="99"/>
    <w:unhideWhenUsed/>
    <w:rsid w:val="00A62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6C"/>
  </w:style>
  <w:style w:type="character" w:customStyle="1" w:styleId="Heading2Char">
    <w:name w:val="Heading 2 Char"/>
    <w:basedOn w:val="DefaultParagraphFont"/>
    <w:link w:val="Heading2"/>
    <w:uiPriority w:val="9"/>
    <w:rsid w:val="00FF7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urmedplasten.dk/emneoversigt/mere/plasttyp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leadmin/Aktuel_Naturvidenskab/nr-6/AN6-2014kemist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emienidinhverdag.dk/leksikon/plasti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Højgaard Thinggaard</dc:creator>
  <cp:keywords/>
  <dc:description/>
  <cp:lastModifiedBy>Jørgen Dahlgaard</cp:lastModifiedBy>
  <cp:revision>3</cp:revision>
  <dcterms:created xsi:type="dcterms:W3CDTF">2018-10-31T13:50:00Z</dcterms:created>
  <dcterms:modified xsi:type="dcterms:W3CDTF">2018-10-31T13:53:00Z</dcterms:modified>
</cp:coreProperties>
</file>